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3.xml" ContentType="application/vnd.openxmlformats-officedocument.wordprocessingml.header+xml"/>
  <Override PartName="/word/header5.xml" ContentType="application/vnd.openxmlformats-officedocument.wordprocessingml.header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  <w:t>Технические требования на поставку МТР</w:t>
      </w:r>
    </w:p>
    <w:p>
      <w:pPr>
        <w:pStyle w:val="Normal"/>
        <w:keepNext w:val="true"/>
        <w:keepLines/>
        <w:jc w:val="center"/>
        <w:rPr>
          <w:rFonts w:eastAsia="Calibri"/>
          <w:b/>
          <w:sz w:val="26"/>
          <w:szCs w:val="26"/>
        </w:rPr>
      </w:pPr>
      <w:r>
        <w:rPr>
          <w:rFonts w:eastAsia="Calibri"/>
          <w:b/>
          <w:sz w:val="26"/>
          <w:szCs w:val="26"/>
        </w:rPr>
      </w:r>
    </w:p>
    <w:p>
      <w:pPr>
        <w:pStyle w:val="Style35"/>
        <w:jc w:val="center"/>
        <w:rPr/>
      </w:pPr>
      <w:r>
        <w:rPr>
          <w:rStyle w:val="Hyperlink"/>
          <w:rFonts w:eastAsia="Calibri" w:cs="Times New Roman"/>
          <w:b/>
          <w:bCs/>
          <w:i w:val="false"/>
          <w:caps w:val="false"/>
          <w:smallCaps w:val="false"/>
          <w:color w:val="000000"/>
          <w:spacing w:val="0"/>
          <w:kern w:val="0"/>
          <w:sz w:val="26"/>
          <w:szCs w:val="26"/>
          <w:u w:val="none"/>
          <w:lang w:val="ru-RU" w:eastAsia="ru-RU" w:bidi="ar-SA"/>
        </w:rPr>
        <w:t>ОКПД2 24.10.35.000 Поставка листов стальных горячекатанных для ремонта баржи МП-314 АО «Сахаэнерго»</w:t>
      </w:r>
    </w:p>
    <w:p>
      <w:pPr>
        <w:pStyle w:val="Normal"/>
        <w:widowControl w:val="false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</w:r>
    </w:p>
    <w:p>
      <w:pPr>
        <w:pStyle w:val="Normal"/>
        <w:widowControl w:val="false"/>
        <w:jc w:val="center"/>
        <w:rPr>
          <w:sz w:val="26"/>
          <w:szCs w:val="26"/>
        </w:rPr>
      </w:pPr>
      <w:r>
        <w:rPr>
          <w:b/>
          <w:color w:val="000000"/>
          <w:sz w:val="26"/>
          <w:szCs w:val="26"/>
        </w:rPr>
        <w:t xml:space="preserve">Лот № </w:t>
      </w:r>
      <w:r>
        <w:rPr>
          <w:b/>
          <w:color w:val="000000"/>
          <w:sz w:val="22"/>
          <w:szCs w:val="22"/>
          <w:shd w:fill="auto" w:val="clear"/>
        </w:rPr>
        <w:t>86701-ЭКСП ПРОД-2026-СахаЭ</w:t>
      </w:r>
    </w:p>
    <w:p>
      <w:pPr>
        <w:pStyle w:val="Normal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</w:p>
    <w:p>
      <w:pPr>
        <w:pStyle w:val="Normal"/>
        <w:keepNext w:val="true"/>
        <w:keepLines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6"/>
          <w:szCs w:val="26"/>
        </w:rPr>
      </w:pPr>
      <w:r>
        <w:rPr>
          <w:rFonts w:eastAsia="Calibri"/>
          <w:b/>
          <w:i/>
          <w:sz w:val="26"/>
          <w:szCs w:val="26"/>
        </w:rPr>
      </w:r>
    </w:p>
    <w:p>
      <w:pPr>
        <w:pStyle w:val="Normal"/>
        <w:keepNext w:val="true"/>
        <w:keepLines/>
        <w:jc w:val="both"/>
        <w:rPr>
          <w:sz w:val="26"/>
          <w:szCs w:val="26"/>
        </w:rPr>
      </w:pPr>
      <w:r>
        <w:rPr>
          <w:sz w:val="26"/>
          <w:szCs w:val="26"/>
        </w:rPr>
      </w:r>
    </w:p>
    <w:p>
      <w:pPr>
        <w:pStyle w:val="Normal"/>
        <w:rPr>
          <w:sz w:val="26"/>
          <w:szCs w:val="26"/>
        </w:rPr>
      </w:pPr>
      <w:r>
        <w:rPr>
          <w:sz w:val="26"/>
          <w:szCs w:val="26"/>
        </w:rPr>
      </w:r>
      <w:r>
        <w:br w:type="page"/>
      </w:r>
    </w:p>
    <w:p>
      <w:pPr>
        <w:pStyle w:val="Normal"/>
        <w:jc w:val="center"/>
        <w:rPr>
          <w:b/>
        </w:rPr>
      </w:pPr>
      <w:r>
        <w:rPr>
          <w:b/>
        </w:rPr>
        <w:t>СОДЕРЖАНИЕ</w:t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1"/>
            <w:tabs>
              <w:tab w:val="clear" w:pos="708"/>
              <w:tab w:val="right" w:pos="9921" w:leader="dot"/>
            </w:tabs>
            <w:rPr/>
          </w:pPr>
          <w:r>
            <w:fldChar w:fldCharType="begin"/>
          </w:r>
          <w:r>
            <w:rPr>
              <w:webHidden/>
              <w:rStyle w:val="Style14"/>
              <w:vanish w:val="false"/>
            </w:rPr>
            <w:instrText xml:space="preserve"> TOC \z \o "1-4" \u \h</w:instrText>
          </w:r>
          <w:r>
            <w:rPr>
              <w:webHidden/>
              <w:rStyle w:val="Style14"/>
              <w:vanish w:val="false"/>
            </w:rPr>
            <w:fldChar w:fldCharType="separate"/>
          </w:r>
          <w:hyperlink w:anchor="__RefHeading___Toc31231_1284813626">
            <w:r>
              <w:rPr>
                <w:webHidden/>
                <w:rStyle w:val="Style14"/>
                <w:vanish w:val="false"/>
              </w:rPr>
              <w:t>1. Общие сведения</w:t>
              <w:tab/>
              <w:t>3</w:t>
            </w:r>
          </w:hyperlink>
        </w:p>
        <w:p>
          <w:pPr>
            <w:pStyle w:val="TOC4"/>
            <w:tabs>
              <w:tab w:val="clear" w:pos="708"/>
              <w:tab w:val="right" w:pos="9921" w:leader="dot"/>
            </w:tabs>
            <w:rPr/>
          </w:pPr>
          <w:hyperlink w:anchor="__RefHeading___Toc31233_1284813626">
            <w:r>
              <w:rPr>
                <w:webHidden/>
                <w:rStyle w:val="Style14"/>
                <w:vanish w:val="false"/>
              </w:rPr>
              <w:t>1.1. Обозначения и сокращения</w:t>
              <w:tab/>
              <w:t>3</w:t>
            </w:r>
          </w:hyperlink>
        </w:p>
        <w:p>
          <w:pPr>
            <w:pStyle w:val="TOC4"/>
            <w:tabs>
              <w:tab w:val="clear" w:pos="708"/>
              <w:tab w:val="right" w:pos="9921" w:leader="dot"/>
            </w:tabs>
            <w:rPr/>
          </w:pPr>
          <w:hyperlink w:anchor="__RefHeading___Toc31235_1284813626">
            <w:r>
              <w:rPr>
                <w:webHidden/>
                <w:rStyle w:val="Style14"/>
                <w:vanish w:val="false"/>
              </w:rPr>
              <w:t>1.2. Наименование закупаемой продукции</w:t>
              <w:tab/>
            </w:r>
          </w:hyperlink>
          <w:r>
            <w:rPr/>
            <w:t>3</w:t>
          </w:r>
        </w:p>
        <w:p>
          <w:pPr>
            <w:pStyle w:val="TOC1"/>
            <w:tabs>
              <w:tab w:val="clear" w:pos="708"/>
              <w:tab w:val="right" w:pos="9921" w:leader="dot"/>
            </w:tabs>
            <w:rPr/>
          </w:pPr>
          <w:hyperlink w:anchor="__RefHeading___Toc31237_1284813626">
            <w:r>
              <w:rPr>
                <w:webHidden/>
                <w:rStyle w:val="Style14"/>
                <w:vanish w:val="false"/>
              </w:rPr>
              <w:t xml:space="preserve">2. </w:t>
            </w:r>
            <w:r>
              <w:rPr>
                <w:rStyle w:val="Style14"/>
                <w:iCs/>
              </w:rPr>
              <w:t>Требования к продукции</w:t>
            </w:r>
            <w:r>
              <w:rPr>
                <w:rStyle w:val="Style14"/>
              </w:rPr>
              <w:tab/>
            </w:r>
          </w:hyperlink>
          <w:r>
            <w:rPr/>
            <w:t>3</w:t>
          </w:r>
        </w:p>
        <w:p>
          <w:pPr>
            <w:pStyle w:val="TOC4"/>
            <w:tabs>
              <w:tab w:val="clear" w:pos="708"/>
              <w:tab w:val="right" w:pos="9921" w:leader="dot"/>
            </w:tabs>
            <w:rPr/>
          </w:pPr>
          <w:hyperlink w:anchor="__RefHeading___Toc31239_1284813626">
            <w:r>
              <w:rPr>
                <w:webHidden/>
                <w:rStyle w:val="Style14"/>
                <w:vanish w:val="false"/>
              </w:rPr>
              <w:t>2.1. Требования к объемам и срокам поставки</w:t>
              <w:tab/>
            </w:r>
          </w:hyperlink>
          <w:r>
            <w:rPr/>
            <w:t>3</w:t>
          </w:r>
        </w:p>
        <w:p>
          <w:pPr>
            <w:pStyle w:val="TOC3"/>
            <w:tabs>
              <w:tab w:val="clear" w:pos="708"/>
              <w:tab w:val="right" w:pos="9921" w:leader="dot"/>
            </w:tabs>
            <w:rPr/>
          </w:pPr>
          <w:hyperlink w:anchor="__RefHeading___Toc31241_1284813626">
            <w:r>
              <w:rPr>
                <w:webHidden/>
                <w:rStyle w:val="Style14"/>
                <w:vanish w:val="false"/>
              </w:rPr>
              <w:t>2.1.1. Перечень и объем закупаемой продукции</w:t>
              <w:tab/>
            </w:r>
          </w:hyperlink>
          <w:r>
            <w:rPr/>
            <w:t>3</w:t>
          </w:r>
        </w:p>
        <w:p>
          <w:pPr>
            <w:pStyle w:val="TOC1"/>
            <w:tabs>
              <w:tab w:val="clear" w:pos="708"/>
              <w:tab w:val="right" w:pos="9921" w:leader="dot"/>
            </w:tabs>
            <w:rPr/>
          </w:pPr>
          <w:hyperlink w:anchor="__RefHeading___Toc31243_1284813626">
            <w:r>
              <w:rPr>
                <w:webHidden/>
                <w:rStyle w:val="Style14"/>
                <w:vanish w:val="false"/>
              </w:rPr>
              <w:t>Таблица 1.1 Перечень и объем закупаемой продукции</w:t>
              <w:tab/>
            </w:r>
          </w:hyperlink>
          <w:r>
            <w:rPr/>
            <w:t>3</w:t>
          </w:r>
        </w:p>
        <w:p>
          <w:pPr>
            <w:pStyle w:val="TOC3"/>
            <w:tabs>
              <w:tab w:val="clear" w:pos="708"/>
              <w:tab w:val="right" w:pos="9921" w:leader="dot"/>
            </w:tabs>
            <w:rPr/>
          </w:pPr>
          <w:hyperlink w:anchor="__RefHeading___Toc31245_1284813626">
            <w:r>
              <w:rPr>
                <w:webHidden/>
                <w:rStyle w:val="Style14"/>
                <w:vanish w:val="false"/>
              </w:rPr>
              <w:t>2.1.2. Требования к срокам поставки продукции и оказания сопутствующих услуг</w:t>
              <w:tab/>
            </w:r>
          </w:hyperlink>
          <w:r>
            <w:rPr/>
            <w:t>7</w:t>
          </w:r>
        </w:p>
        <w:p>
          <w:pPr>
            <w:pStyle w:val="TOC1"/>
            <w:tabs>
              <w:tab w:val="clear" w:pos="708"/>
              <w:tab w:val="right" w:pos="9921" w:leader="dot"/>
            </w:tabs>
            <w:rPr/>
          </w:pPr>
          <w:hyperlink w:anchor="__RefHeading___Toc31247_1284813626">
            <w:r>
              <w:rPr>
                <w:webHidden/>
                <w:rStyle w:val="Style14"/>
                <w:vanish w:val="false"/>
              </w:rPr>
              <w:t>Таблица 2.1 Требования по срокам поставки продукции</w:t>
              <w:tab/>
            </w:r>
          </w:hyperlink>
          <w:r>
            <w:rPr/>
            <w:t>7</w:t>
          </w:r>
        </w:p>
        <w:p>
          <w:pPr>
            <w:pStyle w:val="TOC4"/>
            <w:tabs>
              <w:tab w:val="clear" w:pos="708"/>
              <w:tab w:val="right" w:pos="9921" w:leader="dot"/>
            </w:tabs>
            <w:rPr/>
          </w:pPr>
          <w:hyperlink w:anchor="__RefHeading___Toc31249_1284813626">
            <w:r>
              <w:rPr>
                <w:webHidden/>
                <w:rStyle w:val="Style14"/>
                <w:vanish w:val="false"/>
              </w:rPr>
              <w:t>2.2. Требования к качеству продукции</w:t>
              <w:tab/>
            </w:r>
          </w:hyperlink>
          <w:r>
            <w:rPr/>
            <w:t>8</w:t>
          </w:r>
        </w:p>
        <w:p>
          <w:pPr>
            <w:pStyle w:val="TOC1"/>
            <w:tabs>
              <w:tab w:val="clear" w:pos="708"/>
              <w:tab w:val="right" w:pos="9921" w:leader="dot"/>
            </w:tabs>
            <w:rPr/>
          </w:pPr>
          <w:hyperlink w:anchor="__RefHeading___Toc31251_1284813626">
            <w:r>
              <w:rPr>
                <w:webHidden/>
                <w:rStyle w:val="Style14"/>
                <w:vanish w:val="false"/>
              </w:rPr>
              <w:t xml:space="preserve"> </w:t>
            </w:r>
            <w:r>
              <w:rPr>
                <w:rStyle w:val="Style14"/>
              </w:rPr>
              <w:t>Таблица 3. Общие требования к продукции</w:t>
              <w:tab/>
            </w:r>
          </w:hyperlink>
          <w:r>
            <w:rPr/>
            <w:t>8</w:t>
          </w:r>
        </w:p>
        <w:p>
          <w:pPr>
            <w:pStyle w:val="TOC1"/>
            <w:tabs>
              <w:tab w:val="clear" w:pos="708"/>
              <w:tab w:val="right" w:pos="9921" w:leader="dot"/>
            </w:tabs>
            <w:rPr/>
          </w:pPr>
          <w:hyperlink w:anchor="__RefHeading___Toc31253_1284813626">
            <w:r>
              <w:rPr>
                <w:webHidden/>
                <w:rStyle w:val="Style14"/>
                <w:vanish w:val="false"/>
              </w:rPr>
              <w:t xml:space="preserve">Таблица 3.1 </w:t>
            </w:r>
          </w:hyperlink>
          <w:hyperlink w:anchor="__RefHeading___Toc31251_1284813626">
            <w:r>
              <w:rPr>
                <w:webHidden/>
                <w:rStyle w:val="Style14"/>
                <w:vanish w:val="false"/>
              </w:rPr>
              <w:t>Требования к продукции (индивидуальные требования по каждой позиции перечня продукции)</w:t>
            </w:r>
          </w:hyperlink>
          <w:hyperlink w:anchor="__RefHeading___Toc31253_1284813626">
            <w:r>
              <w:rPr>
                <w:webHidden/>
                <w:rStyle w:val="Style14"/>
                <w:vanish w:val="false"/>
              </w:rPr>
              <w:tab/>
            </w:r>
          </w:hyperlink>
          <w:r>
            <w:rPr/>
            <w:t>12</w:t>
          </w:r>
        </w:p>
        <w:p>
          <w:pPr>
            <w:pStyle w:val="TOC1"/>
            <w:tabs>
              <w:tab w:val="clear" w:pos="708"/>
              <w:tab w:val="right" w:pos="9921" w:leader="dot"/>
            </w:tabs>
            <w:rPr/>
          </w:pPr>
          <w:hyperlink w:anchor="__RefHeading___Toc31255_1284813626">
            <w:r>
              <w:rPr>
                <w:webHidden/>
                <w:rStyle w:val="Style14"/>
                <w:vanish w:val="false"/>
              </w:rPr>
              <w:t>3. Требования к документации по ценообразованию на этапе закупки</w:t>
              <w:tab/>
            </w:r>
          </w:hyperlink>
          <w:r>
            <w:rPr/>
            <w:t>34</w:t>
          </w:r>
          <w:r>
            <w:rPr/>
            <w:fldChar w:fldCharType="end"/>
          </w:r>
        </w:p>
      </w:sdtContent>
    </w:sdt>
    <w:p>
      <w:pPr>
        <w:pStyle w:val="Heading2"/>
        <w:numPr>
          <w:ilvl w:val="0"/>
        </w:numPr>
        <w:tabs>
          <w:tab w:val="clear" w:pos="0"/>
        </w:tabs>
        <w:ind w:left="0" w:hanging="0"/>
        <w:rPr>
          <w:b w:val="false"/>
          <w:i/>
          <w:i/>
        </w:rPr>
      </w:pPr>
      <w:r>
        <w:rPr>
          <w:b w:val="false"/>
          <w:i/>
        </w:rPr>
      </w:r>
    </w:p>
    <w:p>
      <w:pPr>
        <w:pStyle w:val="Normal"/>
        <w:keepNext w:val="true"/>
        <w:keepLines/>
        <w:jc w:val="center"/>
        <w:rPr>
          <w:rFonts w:eastAsia="Calibri"/>
          <w:b/>
          <w:i/>
          <w:i/>
          <w:sz w:val="24"/>
          <w:szCs w:val="24"/>
        </w:rPr>
      </w:pPr>
      <w:r>
        <w:rPr>
          <w:rFonts w:eastAsia="Calibri"/>
          <w:b/>
          <w:i/>
          <w:sz w:val="24"/>
          <w:szCs w:val="24"/>
        </w:rPr>
      </w:r>
      <w:r>
        <w:br w:type="page"/>
      </w:r>
    </w:p>
    <w:p>
      <w:pPr>
        <w:pStyle w:val="Heading1"/>
        <w:keepLines/>
        <w:numPr>
          <w:ilvl w:val="0"/>
          <w:numId w:val="3"/>
        </w:numPr>
        <w:ind w:left="357" w:hanging="357"/>
        <w:rPr>
          <w:caps/>
          <w:lang w:val="ru-RU"/>
        </w:rPr>
      </w:pPr>
      <w:bookmarkStart w:id="0" w:name="__RefHeading___Toc32746_3835486953"/>
      <w:bookmarkStart w:id="1" w:name="_Toc124165064"/>
      <w:bookmarkStart w:id="2" w:name="_Toc51339692"/>
      <w:bookmarkEnd w:id="0"/>
      <w:r>
        <w:rPr>
          <w:lang w:val="ru-RU"/>
        </w:rPr>
        <w:t>Общие сведения</w:t>
      </w:r>
      <w:bookmarkEnd w:id="1"/>
      <w:bookmarkEnd w:id="2"/>
    </w:p>
    <w:p>
      <w:pPr>
        <w:pStyle w:val="Heading2"/>
        <w:numPr>
          <w:ilvl w:val="1"/>
          <w:numId w:val="3"/>
        </w:numPr>
        <w:rPr/>
      </w:pPr>
      <w:bookmarkStart w:id="3" w:name="__RefHeading___Toc32748_3835486953"/>
      <w:bookmarkStart w:id="4" w:name="_Toc46743505"/>
      <w:bookmarkStart w:id="5" w:name="_Toc124165065"/>
      <w:bookmarkEnd w:id="3"/>
      <w:r>
        <w:rPr/>
        <w:t>Обозначения и сокращения</w:t>
      </w:r>
      <w:bookmarkEnd w:id="4"/>
      <w:bookmarkEnd w:id="5"/>
    </w:p>
    <w:p>
      <w:pPr>
        <w:pStyle w:val="Normal"/>
        <w:rPr>
          <w:rStyle w:val="Style8"/>
          <w:b w:val="false"/>
          <w:bCs/>
          <w:iCs/>
          <w:sz w:val="26"/>
          <w:szCs w:val="26"/>
        </w:rPr>
      </w:pPr>
      <w:r>
        <w:rPr>
          <w:b w:val="false"/>
          <w:bCs/>
          <w:iCs/>
          <w:sz w:val="26"/>
          <w:szCs w:val="26"/>
        </w:rPr>
      </w:r>
    </w:p>
    <w:tbl>
      <w:tblPr>
        <w:tblW w:w="9783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1785"/>
        <w:gridCol w:w="7997"/>
      </w:tblGrid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rStyle w:val="Style8"/>
                <w:b w:val="false"/>
                <w:bCs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СТО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rStyle w:val="Style8"/>
                <w:b w:val="false"/>
                <w:bCs/>
                <w:i w:val="false"/>
                <w:i w:val="false"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стандарт организации</w:t>
            </w:r>
          </w:p>
        </w:tc>
      </w:tr>
      <w:tr>
        <w:trPr>
          <w:cantSplit w:val="true"/>
        </w:trPr>
        <w:tc>
          <w:tcPr>
            <w:tcW w:w="1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rStyle w:val="Style8"/>
                <w:b w:val="false"/>
                <w:bCs/>
                <w:i w:val="false"/>
                <w:i w:val="false"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ТТ</w:t>
            </w:r>
          </w:p>
        </w:tc>
        <w:tc>
          <w:tcPr>
            <w:tcW w:w="7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pacing w:before="120" w:after="120"/>
              <w:jc w:val="both"/>
              <w:rPr>
                <w:rStyle w:val="Style8"/>
                <w:b w:val="false"/>
                <w:bCs/>
                <w:i w:val="false"/>
                <w:i w:val="false"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технические требования</w:t>
            </w:r>
          </w:p>
        </w:tc>
      </w:tr>
    </w:tbl>
    <w:p>
      <w:pPr>
        <w:pStyle w:val="Normal"/>
        <w:keepNext w:val="true"/>
        <w:keepLines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Heading2"/>
        <w:numPr>
          <w:ilvl w:val="1"/>
          <w:numId w:val="3"/>
        </w:numPr>
        <w:rPr>
          <w:sz w:val="24"/>
          <w:szCs w:val="24"/>
        </w:rPr>
      </w:pPr>
      <w:bookmarkStart w:id="6" w:name="__RefHeading___Toc32750_3835486953"/>
      <w:bookmarkStart w:id="7" w:name="_Toc124165066"/>
      <w:bookmarkStart w:id="8" w:name="_Toc46743506"/>
      <w:bookmarkEnd w:id="6"/>
      <w:r>
        <w:rPr>
          <w:sz w:val="24"/>
          <w:szCs w:val="24"/>
        </w:rPr>
        <w:t>Наименование закупаемой продукции</w:t>
      </w:r>
      <w:bookmarkEnd w:id="7"/>
      <w:bookmarkEnd w:id="8"/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both"/>
        <w:rPr/>
      </w:pPr>
      <w:r>
        <w:rPr>
          <w:rFonts w:eastAsia="Calibri"/>
          <w:b w:val="false"/>
          <w:bCs w:val="false"/>
          <w:i/>
          <w:sz w:val="24"/>
          <w:szCs w:val="24"/>
          <w:lang w:eastAsia="x-none"/>
        </w:rPr>
        <w:t>«</w:t>
      </w:r>
      <w:r>
        <w:rPr>
          <w:rStyle w:val="Hyperlink"/>
          <w:rFonts w:eastAsia="Calibri" w:cs="Times New Roman"/>
          <w:b w:val="false"/>
          <w:bCs w:val="false"/>
          <w:i w:val="false"/>
          <w:caps w:val="false"/>
          <w:smallCaps w:val="false"/>
          <w:color w:val="000000"/>
          <w:spacing w:val="0"/>
          <w:kern w:val="0"/>
          <w:sz w:val="24"/>
          <w:szCs w:val="24"/>
          <w:u w:val="none"/>
          <w:lang w:val="ru-RU" w:eastAsia="ru-RU" w:bidi="ar-SA"/>
        </w:rPr>
        <w:t>Поставка листов стальных горячекатанных для ремонта баржи МП-314 АО «Сахаэнерго»</w:t>
      </w:r>
      <w:r>
        <w:rPr>
          <w:rFonts w:eastAsia="Calibri"/>
          <w:b w:val="false"/>
          <w:bCs w:val="false"/>
          <w:i/>
          <w:sz w:val="24"/>
          <w:szCs w:val="24"/>
          <w:lang w:eastAsia="x-none"/>
        </w:rPr>
        <w:t>»</w:t>
      </w:r>
    </w:p>
    <w:p>
      <w:pPr>
        <w:pStyle w:val="Normal"/>
        <w:widowControl w:val="false"/>
        <w:tabs>
          <w:tab w:val="clear" w:pos="708"/>
          <w:tab w:val="left" w:pos="426" w:leader="none"/>
        </w:tabs>
        <w:spacing w:before="120" w:after="120"/>
        <w:jc w:val="center"/>
        <w:rPr>
          <w:sz w:val="24"/>
          <w:szCs w:val="24"/>
        </w:rPr>
      </w:pPr>
      <w:r>
        <w:rPr>
          <w:rFonts w:eastAsia="Calibri"/>
          <w:b/>
          <w:bCs/>
          <w:i w:val="false"/>
          <w:iCs w:val="false"/>
          <w:sz w:val="24"/>
          <w:szCs w:val="24"/>
          <w:lang w:eastAsia="x-none"/>
        </w:rPr>
        <w:t xml:space="preserve">1.3. </w:t>
      </w:r>
      <w:r>
        <w:rPr>
          <w:rFonts w:eastAsia="Calibri"/>
          <w:b/>
          <w:bCs/>
          <w:i w:val="false"/>
          <w:iCs w:val="false"/>
          <w:sz w:val="24"/>
          <w:szCs w:val="24"/>
          <w:shd w:fill="FFFFFF" w:val="clear"/>
          <w:lang w:eastAsia="x-none"/>
        </w:rPr>
        <w:t>Цели использования закупаемой продукции:</w:t>
      </w:r>
    </w:p>
    <w:p>
      <w:pPr>
        <w:pStyle w:val="Normal"/>
        <w:ind w:hanging="0"/>
        <w:jc w:val="both"/>
        <w:rPr>
          <w:i w:val="false"/>
          <w:i w:val="false"/>
          <w:iCs w:val="false"/>
          <w:sz w:val="24"/>
          <w:szCs w:val="24"/>
        </w:rPr>
      </w:pPr>
      <w:r>
        <w:rPr>
          <w:rFonts w:eastAsia="Calibri"/>
          <w:b w:val="false"/>
          <w:bCs w:val="false"/>
          <w:i w:val="false"/>
          <w:iCs w:val="false"/>
          <w:color w:val="000000"/>
          <w:sz w:val="24"/>
          <w:szCs w:val="24"/>
          <w:shd w:fill="FFFFFF" w:val="clear"/>
          <w:lang w:eastAsia="x-none"/>
        </w:rPr>
        <w:t xml:space="preserve">Поставляемая продукция необходима для проведения </w:t>
      </w:r>
      <w:r>
        <w:rPr>
          <w:rFonts w:eastAsia="Calibri"/>
          <w:b w:val="false"/>
          <w:bCs w:val="false"/>
          <w:i w:val="false"/>
          <w:iCs w:val="false"/>
          <w:color w:val="000000"/>
          <w:sz w:val="24"/>
          <w:szCs w:val="24"/>
          <w:shd w:fill="auto" w:val="clear"/>
          <w:lang w:eastAsia="x-none"/>
        </w:rPr>
        <w:t>ремонта днища баржи МП-314 АО «Сахаэнерго».</w:t>
      </w:r>
    </w:p>
    <w:p>
      <w:pPr>
        <w:pStyle w:val="Heading1"/>
        <w:numPr>
          <w:ilvl w:val="0"/>
          <w:numId w:val="3"/>
        </w:numPr>
        <w:ind w:left="340" w:hanging="57"/>
        <w:rPr/>
      </w:pPr>
      <w:bookmarkStart w:id="9" w:name="__RefHeading___Toc32752_3835486953"/>
      <w:bookmarkStart w:id="10" w:name="_Toc51339693"/>
      <w:bookmarkStart w:id="11" w:name="_Toc124165067"/>
      <w:bookmarkStart w:id="12" w:name="_Toc50125126"/>
      <w:bookmarkEnd w:id="9"/>
      <w:bookmarkEnd w:id="12"/>
      <w:r>
        <w:rPr/>
        <w:t>Требования к продукции</w:t>
      </w:r>
      <w:bookmarkEnd w:id="10"/>
      <w:bookmarkEnd w:id="11"/>
    </w:p>
    <w:p>
      <w:pPr>
        <w:pStyle w:val="Heading2"/>
        <w:numPr>
          <w:ilvl w:val="1"/>
          <w:numId w:val="3"/>
        </w:numPr>
        <w:rPr/>
      </w:pPr>
      <w:bookmarkStart w:id="13" w:name="__RefHeading___Toc32754_3835486953"/>
      <w:bookmarkStart w:id="14" w:name="_Toc124165068"/>
      <w:bookmarkEnd w:id="13"/>
      <w:r>
        <w:rPr/>
        <w:t xml:space="preserve">Требования к объемам и срокам </w:t>
      </w:r>
      <w:r>
        <w:rPr>
          <w:lang w:val="ru-RU"/>
        </w:rPr>
        <w:t>поставки</w:t>
      </w:r>
      <w:bookmarkEnd w:id="14"/>
    </w:p>
    <w:p>
      <w:pPr>
        <w:pStyle w:val="Heading3"/>
        <w:numPr>
          <w:ilvl w:val="2"/>
          <w:numId w:val="3"/>
        </w:numPr>
        <w:ind w:left="1224" w:hanging="504"/>
        <w:rPr/>
      </w:pPr>
      <w:bookmarkStart w:id="15" w:name="__RefHeading___Toc32756_3835486953"/>
      <w:bookmarkStart w:id="16" w:name="_Toc124165069"/>
      <w:bookmarkEnd w:id="15"/>
      <w:r>
        <w:rPr/>
        <w:t>Перечень и объем закупаемой продукции</w:t>
      </w:r>
      <w:bookmarkEnd w:id="16"/>
      <w:r>
        <w:rPr/>
        <w:t xml:space="preserve"> </w:t>
      </w:r>
    </w:p>
    <w:p>
      <w:pPr>
        <w:pStyle w:val="Heading3"/>
        <w:numPr>
          <w:ilvl w:val="0"/>
          <w:numId w:val="0"/>
        </w:numPr>
        <w:ind w:left="1224" w:hanging="0"/>
        <w:rPr/>
      </w:pPr>
      <w:bookmarkStart w:id="17" w:name="__RefHeading___Toc32758_3835486953"/>
      <w:bookmarkStart w:id="18" w:name="_Toc124165070"/>
      <w:bookmarkStart w:id="19" w:name="_Toc51339695"/>
      <w:bookmarkEnd w:id="17"/>
      <w:r>
        <w:rPr/>
        <w:t xml:space="preserve">Таблица 1.1. Перечень </w:t>
      </w:r>
      <w:bookmarkEnd w:id="19"/>
      <w:r>
        <w:rPr/>
        <w:t>и объем закупаемой продукции</w:t>
      </w:r>
      <w:bookmarkEnd w:id="18"/>
      <w:r>
        <w:rPr/>
        <w:t xml:space="preserve"> </w:t>
      </w:r>
    </w:p>
    <w:p>
      <w:pPr>
        <w:pStyle w:val="Heading3"/>
        <w:numPr>
          <w:ilvl w:val="0"/>
          <w:numId w:val="0"/>
        </w:numPr>
        <w:ind w:left="1224" w:hanging="0"/>
        <w:rPr>
          <w:lang w:val="ru-RU"/>
        </w:rPr>
      </w:pPr>
      <w:r>
        <w:rPr>
          <w:lang w:val="ru-RU"/>
        </w:rPr>
      </w:r>
    </w:p>
    <w:tbl>
      <w:tblPr>
        <w:tblW w:w="10714" w:type="dxa"/>
        <w:jc w:val="left"/>
        <w:tblInd w:w="-44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noVBand="1" w:noHBand="0" w:lastColumn="0" w:firstColumn="1" w:lastRow="0" w:firstRow="1"/>
      </w:tblPr>
      <w:tblGrid>
        <w:gridCol w:w="1338"/>
        <w:gridCol w:w="7268"/>
        <w:gridCol w:w="1250"/>
        <w:gridCol w:w="857"/>
      </w:tblGrid>
      <w:tr>
        <w:trPr>
          <w:trHeight w:val="225" w:hRule="atLeast"/>
        </w:trPr>
        <w:tc>
          <w:tcPr>
            <w:tcW w:w="13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  <w:r>
              <w:rPr>
                <w:sz w:val="24"/>
                <w:szCs w:val="24"/>
              </w:rPr>
              <w:br/>
              <w:t>п/п</w:t>
            </w:r>
          </w:p>
        </w:tc>
        <w:tc>
          <w:tcPr>
            <w:tcW w:w="7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продукции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Единицы измерения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Количество</w:t>
            </w:r>
          </w:p>
        </w:tc>
      </w:tr>
      <w:tr>
        <w:trPr>
          <w:trHeight w:val="255" w:hRule="atLeast"/>
        </w:trPr>
        <w:tc>
          <w:tcPr>
            <w:tcW w:w="133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7268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>
        <w:trPr>
          <w:trHeight w:val="225" w:hRule="atLeast"/>
        </w:trPr>
        <w:tc>
          <w:tcPr>
            <w:tcW w:w="13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2"/>
              </w:numPr>
              <w:tabs>
                <w:tab w:val="clear" w:pos="708"/>
              </w:tabs>
              <w:ind w:left="737" w:right="170" w:hanging="737"/>
              <w:jc w:val="center"/>
              <w:rPr>
                <w:sz w:val="24"/>
                <w:szCs w:val="24"/>
                <w:shd w:fill="FFFF00" w:val="clear"/>
              </w:rPr>
            </w:pPr>
            <w:r>
              <w:rPr>
                <w:sz w:val="24"/>
                <w:szCs w:val="24"/>
                <w:shd w:fill="FFFF00" w:val="clear"/>
              </w:rPr>
            </w:r>
          </w:p>
        </w:tc>
        <w:tc>
          <w:tcPr>
            <w:tcW w:w="72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 стальной горячекатаный 4х1500х6000мм РСВ</w:t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7,872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</w:tr>
      <w:tr>
        <w:trPr>
          <w:trHeight w:val="225" w:hRule="atLeast"/>
        </w:trPr>
        <w:tc>
          <w:tcPr>
            <w:tcW w:w="13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2"/>
              </w:numPr>
              <w:tabs>
                <w:tab w:val="clear" w:pos="708"/>
              </w:tabs>
              <w:ind w:left="737" w:right="170" w:hanging="737"/>
              <w:jc w:val="center"/>
              <w:rPr>
                <w:sz w:val="24"/>
                <w:szCs w:val="24"/>
                <w:shd w:fill="FFFF00" w:val="clear"/>
              </w:rPr>
            </w:pPr>
            <w:r>
              <w:rPr>
                <w:sz w:val="24"/>
                <w:szCs w:val="24"/>
                <w:shd w:fill="FFFF00" w:val="clear"/>
              </w:rPr>
            </w:r>
          </w:p>
        </w:tc>
        <w:tc>
          <w:tcPr>
            <w:tcW w:w="72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 стальной горячекатаный 5х1500х6000мм РСВ</w:t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2,118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</w:tr>
      <w:tr>
        <w:trPr>
          <w:trHeight w:val="225" w:hRule="atLeast"/>
        </w:trPr>
        <w:tc>
          <w:tcPr>
            <w:tcW w:w="133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numPr>
                <w:ilvl w:val="0"/>
                <w:numId w:val="12"/>
              </w:numPr>
              <w:tabs>
                <w:tab w:val="clear" w:pos="708"/>
              </w:tabs>
              <w:ind w:left="737" w:right="170" w:hanging="737"/>
              <w:jc w:val="center"/>
              <w:rPr>
                <w:sz w:val="24"/>
                <w:szCs w:val="24"/>
                <w:shd w:fill="FFFF00" w:val="clear"/>
              </w:rPr>
            </w:pPr>
            <w:r>
              <w:rPr>
                <w:sz w:val="24"/>
                <w:szCs w:val="24"/>
                <w:shd w:fill="FFFF00" w:val="clear"/>
              </w:rPr>
            </w:r>
          </w:p>
        </w:tc>
        <w:tc>
          <w:tcPr>
            <w:tcW w:w="7268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Style35"/>
              <w:widowControl w:val="false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Лист стальной горячекатаный 6х1500х6000мм РСВ</w:t>
            </w:r>
          </w:p>
        </w:tc>
        <w:tc>
          <w:tcPr>
            <w:tcW w:w="1250" w:type="dxa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2,120</w:t>
            </w:r>
          </w:p>
        </w:tc>
        <w:tc>
          <w:tcPr>
            <w:tcW w:w="8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5"/>
              <w:widowControl w:val="false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т</w:t>
            </w:r>
          </w:p>
        </w:tc>
      </w:tr>
    </w:tbl>
    <w:p>
      <w:pPr>
        <w:pStyle w:val="Heading3"/>
        <w:numPr>
          <w:ilvl w:val="2"/>
          <w:numId w:val="3"/>
        </w:numPr>
        <w:ind w:left="1224" w:hanging="504"/>
        <w:rPr/>
      </w:pPr>
      <w:bookmarkStart w:id="20" w:name="__RefHeading___Toc32760_3835486953"/>
      <w:bookmarkEnd w:id="20"/>
      <w:r>
        <w:rPr/>
        <w:t>Требования к срокам поставки продукции</w:t>
      </w:r>
    </w:p>
    <w:p>
      <w:pPr>
        <w:pStyle w:val="Normal"/>
        <w:numPr>
          <w:ilvl w:val="0"/>
          <w:numId w:val="0"/>
        </w:numPr>
        <w:spacing w:before="120" w:after="60"/>
        <w:ind w:left="57" w:hanging="57"/>
        <w:outlineLvl w:val="2"/>
        <w:rPr>
          <w:rFonts w:eastAsia="Calibri"/>
          <w:b/>
          <w:sz w:val="24"/>
          <w:szCs w:val="24"/>
          <w:lang w:val="x-none" w:eastAsia="x-none"/>
        </w:rPr>
      </w:pPr>
      <w:r>
        <w:rPr>
          <w:rFonts w:eastAsia="Calibri"/>
          <w:b/>
          <w:sz w:val="24"/>
          <w:szCs w:val="24"/>
          <w:lang w:val="x-none" w:eastAsia="x-none"/>
        </w:rPr>
      </w:r>
    </w:p>
    <w:p>
      <w:pPr>
        <w:pStyle w:val="Heading3"/>
        <w:numPr>
          <w:ilvl w:val="0"/>
          <w:numId w:val="0"/>
        </w:numPr>
        <w:ind w:left="2154" w:hanging="0"/>
        <w:rPr/>
      </w:pPr>
      <w:bookmarkStart w:id="21" w:name="__RefHeading___Toc32762_3835486953"/>
      <w:bookmarkEnd w:id="21"/>
      <w:r>
        <w:rPr/>
        <w:t>Т</w:t>
      </w:r>
      <w:bookmarkStart w:id="22" w:name="_Toc124165072"/>
      <w:bookmarkStart w:id="23" w:name="_Toc51339697"/>
      <w:bookmarkStart w:id="24" w:name="_Toc50125127"/>
      <w:r>
        <w:rPr/>
        <w:t xml:space="preserve">аблица 2.1 </w:t>
      </w:r>
      <w:bookmarkStart w:id="25" w:name="_Hlk50465284"/>
      <w:r>
        <w:rPr/>
        <w:t xml:space="preserve">Требования по срокам </w:t>
      </w:r>
      <w:bookmarkEnd w:id="23"/>
      <w:bookmarkEnd w:id="24"/>
      <w:bookmarkEnd w:id="25"/>
      <w:r>
        <w:rPr/>
        <w:t>поставки продукции</w:t>
      </w:r>
      <w:bookmarkEnd w:id="22"/>
      <w:r>
        <w:rPr/>
        <w:t xml:space="preserve"> </w:t>
      </w:r>
    </w:p>
    <w:tbl>
      <w:tblPr>
        <w:tblW w:w="9776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611"/>
        <w:gridCol w:w="2179"/>
        <w:gridCol w:w="3669"/>
        <w:gridCol w:w="3316"/>
      </w:tblGrid>
      <w:tr>
        <w:trPr/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№ </w:t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продукции / партии продукции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началу срока поставки продукции</w:t>
            </w: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Требования к окончанию срока поставки продукции</w:t>
            </w:r>
          </w:p>
        </w:tc>
      </w:tr>
      <w:tr>
        <w:trPr/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9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29"/>
              <w:keepNext w:val="false"/>
              <w:widowControl w:val="false"/>
              <w:spacing w:before="40" w:after="40"/>
              <w:jc w:val="center"/>
              <w:rPr>
                <w:sz w:val="24"/>
                <w:szCs w:val="24"/>
              </w:rPr>
            </w:pPr>
            <w:bookmarkStart w:id="26" w:name="_Toc46743510"/>
            <w:r>
              <w:rPr>
                <w:b/>
                <w:sz w:val="24"/>
                <w:szCs w:val="24"/>
              </w:rPr>
              <w:t>4</w:t>
            </w:r>
            <w:bookmarkEnd w:id="26"/>
          </w:p>
        </w:tc>
      </w:tr>
      <w:tr>
        <w:trPr/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Style35"/>
              <w:widowControl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Позиции 1-3 Таблицы 1.1. ТТ</w:t>
            </w:r>
          </w:p>
        </w:tc>
        <w:tc>
          <w:tcPr>
            <w:tcW w:w="36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color w:val="auto"/>
                <w:kern w:val="0"/>
                <w:sz w:val="24"/>
                <w:szCs w:val="24"/>
                <w:lang w:val="ru-RU" w:eastAsia="ru-RU" w:bidi="ar-SA"/>
              </w:rPr>
              <w:t>С момента заключения договора</w:t>
            </w:r>
          </w:p>
        </w:tc>
        <w:tc>
          <w:tcPr>
            <w:tcW w:w="3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В течение </w:t>
            </w:r>
            <w:r>
              <w:rPr>
                <w:i/>
                <w:iCs/>
                <w:sz w:val="24"/>
                <w:szCs w:val="24"/>
              </w:rPr>
              <w:t>60</w:t>
            </w:r>
            <w:r>
              <w:rPr>
                <w:i/>
                <w:iCs/>
                <w:sz w:val="24"/>
                <w:szCs w:val="24"/>
              </w:rPr>
              <w:t xml:space="preserve"> календарных дней</w:t>
            </w:r>
          </w:p>
        </w:tc>
      </w:tr>
    </w:tbl>
    <w:p>
      <w:pPr>
        <w:sectPr>
          <w:headerReference w:type="even" r:id="rId2"/>
          <w:headerReference w:type="default" r:id="rId3"/>
          <w:headerReference w:type="first" r:id="rId4"/>
          <w:type w:val="nextPage"/>
          <w:pgSz w:w="11906" w:h="16838"/>
          <w:pgMar w:left="1134" w:right="851" w:gutter="0" w:header="680" w:top="1134" w:footer="0" w:bottom="992"/>
          <w:pgNumType w:fmt="decimal"/>
          <w:formProt w:val="false"/>
          <w:titlePg/>
          <w:textDirection w:val="lrTb"/>
          <w:docGrid w:type="default" w:linePitch="360" w:charSpace="0"/>
        </w:sectPr>
      </w:pPr>
    </w:p>
    <w:p>
      <w:pPr>
        <w:pStyle w:val="Heading2"/>
        <w:numPr>
          <w:ilvl w:val="1"/>
          <w:numId w:val="3"/>
        </w:numPr>
        <w:rPr/>
      </w:pPr>
      <w:bookmarkStart w:id="27" w:name="_Toc124165073"/>
      <w:bookmarkStart w:id="28" w:name="_Toc46743511"/>
      <w:bookmarkStart w:id="29" w:name="_Toc51339698"/>
      <w:bookmarkEnd w:id="29"/>
      <w:r>
        <w:rPr/>
        <w:t xml:space="preserve">Требования к </w:t>
      </w:r>
      <w:bookmarkEnd w:id="28"/>
      <w:r>
        <w:rPr>
          <w:lang w:val="ru-RU"/>
        </w:rPr>
        <w:t>качеству продукции</w:t>
      </w:r>
      <w:bookmarkEnd w:id="27"/>
    </w:p>
    <w:p>
      <w:pPr>
        <w:pStyle w:val="Normal"/>
        <w:rPr/>
      </w:pPr>
      <w:r>
        <w:rPr/>
      </w:r>
    </w:p>
    <w:p>
      <w:pPr>
        <w:pStyle w:val="Normal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Таблица №3 Общие требования к продукции</w:t>
      </w:r>
    </w:p>
    <w:p>
      <w:pPr>
        <w:pStyle w:val="Normal"/>
        <w:jc w:val="center"/>
        <w:rPr>
          <w:sz w:val="24"/>
          <w:szCs w:val="24"/>
        </w:rPr>
      </w:pPr>
      <w:r>
        <w:rPr>
          <w:sz w:val="24"/>
          <w:szCs w:val="24"/>
        </w:rPr>
      </w:r>
    </w:p>
    <w:tbl>
      <w:tblPr>
        <w:tblStyle w:val="affff8"/>
        <w:tblW w:w="15309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852"/>
        <w:gridCol w:w="1810"/>
        <w:gridCol w:w="4822"/>
        <w:gridCol w:w="2693"/>
        <w:gridCol w:w="3117"/>
        <w:gridCol w:w="2014"/>
      </w:tblGrid>
      <w:tr>
        <w:trPr/>
        <w:tc>
          <w:tcPr>
            <w:tcW w:w="852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 xml:space="preserve">№ </w:t>
            </w: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п/п</w:t>
            </w:r>
          </w:p>
        </w:tc>
        <w:tc>
          <w:tcPr>
            <w:tcW w:w="1810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Наименование параметра</w:t>
            </w:r>
          </w:p>
        </w:tc>
        <w:tc>
          <w:tcPr>
            <w:tcW w:w="4822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Требование заказчика</w:t>
            </w:r>
          </w:p>
        </w:tc>
        <w:tc>
          <w:tcPr>
            <w:tcW w:w="5810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Способ подтверждения участником соответствия требованиям</w:t>
            </w:r>
          </w:p>
        </w:tc>
        <w:tc>
          <w:tcPr>
            <w:tcW w:w="2014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Предложение участника по характеристикам и параметрам</w:t>
            </w:r>
          </w:p>
        </w:tc>
      </w:tr>
      <w:tr>
        <w:trPr/>
        <w:tc>
          <w:tcPr>
            <w:tcW w:w="852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1810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4822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  <w:tc>
          <w:tcPr>
            <w:tcW w:w="269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Согласие с требованием/ указание характеристик</w:t>
            </w:r>
          </w:p>
        </w:tc>
        <w:tc>
          <w:tcPr>
            <w:tcW w:w="311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Предоставление подтверждающего документа или иной способ подтверждения</w:t>
            </w:r>
          </w:p>
        </w:tc>
        <w:tc>
          <w:tcPr>
            <w:tcW w:w="2014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1</w:t>
            </w:r>
          </w:p>
        </w:tc>
        <w:tc>
          <w:tcPr>
            <w:tcW w:w="18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2</w:t>
            </w:r>
          </w:p>
        </w:tc>
        <w:tc>
          <w:tcPr>
            <w:tcW w:w="482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3</w:t>
            </w:r>
          </w:p>
        </w:tc>
        <w:tc>
          <w:tcPr>
            <w:tcW w:w="269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4</w:t>
            </w:r>
          </w:p>
        </w:tc>
        <w:tc>
          <w:tcPr>
            <w:tcW w:w="311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5</w:t>
            </w:r>
          </w:p>
        </w:tc>
        <w:tc>
          <w:tcPr>
            <w:tcW w:w="20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6</w:t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663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техническим и функциональным характеристикам (включая гарантируемые показатели)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311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01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6632" w:type="dxa"/>
            <w:gridSpan w:val="2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Требования к техническим и функциональным характеристикам в отношении каждой позиции продукции представлены в Таблице № 3.1 к настоящим Техническим требованиям</w:t>
            </w:r>
          </w:p>
        </w:tc>
        <w:tc>
          <w:tcPr>
            <w:tcW w:w="2693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/>
                <w:iCs/>
                <w:kern w:val="0"/>
                <w:sz w:val="24"/>
                <w:szCs w:val="24"/>
                <w:lang w:val="ru-RU" w:eastAsia="ru-RU" w:bidi="ar-SA"/>
              </w:rPr>
              <w:t>Указание характеристик</w:t>
            </w:r>
          </w:p>
        </w:tc>
        <w:tc>
          <w:tcPr>
            <w:tcW w:w="3117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В составе заявки Участник должен представить заполненную форму таблицы 3.1 настоящих ТТ (столбцы, относящиеся к Предложениям Участника)</w:t>
            </w:r>
          </w:p>
        </w:tc>
        <w:tc>
          <w:tcPr>
            <w:tcW w:w="2014" w:type="dxa"/>
            <w:tcBorders/>
            <w:shd w:color="auto" w:fill="auto" w:val="clea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663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kern w:val="0"/>
                <w:sz w:val="24"/>
                <w:szCs w:val="24"/>
                <w:lang w:val="ru-RU" w:eastAsia="ru-RU" w:bidi="ar-SA"/>
              </w:rPr>
              <w:t>Требования к доставке,  маркировке, упаковке, транспортировке, перемещению, условиям хранения, приемке и испытаниям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311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01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Требования к транспортированию и упаковке</w:t>
            </w:r>
          </w:p>
        </w:tc>
        <w:tc>
          <w:tcPr>
            <w:tcW w:w="48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jc w:val="both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1. При транспортировке металлопрокат должен быть упакован в пачки/связки по идентичным параметрам, весом до 8 тонн;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jc w:val="both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2. Доставка должна быть осуществлена открытыми транспортными средствами. Перевозка металлопроката в контейнерах и транспортных средствах, неприспособленных к вертикальной разгрузке не допускается;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left="113" w:hanging="0"/>
              <w:jc w:val="both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3. Металлопрокат должен быть упакован надлежащим образом, обеспечивающим его защиту от повреждения и потерь во время транспортировки, доставки и погрузочно-разгрузочных работ, в том числе: ГОСТ 7566-2018 «Металлопродукция. Приемка, маркировка, упаковка, транспортирование и хранение».</w:t>
            </w:r>
          </w:p>
          <w:p>
            <w:pPr>
              <w:pStyle w:val="ListParagraph"/>
              <w:widowControl w:val="false"/>
              <w:tabs>
                <w:tab w:val="clear" w:pos="708"/>
                <w:tab w:val="left" w:pos="318" w:leader="none"/>
                <w:tab w:val="left" w:pos="451" w:leader="none"/>
              </w:tabs>
              <w:suppressAutoHyphens w:val="true"/>
              <w:spacing w:before="0" w:after="0"/>
              <w:ind w:left="35" w:hanging="0"/>
              <w:contextualSpacing/>
              <w:jc w:val="both"/>
              <w:rPr>
                <w:i/>
                <w:i/>
                <w:iCs/>
              </w:rPr>
            </w:pPr>
            <w:r>
              <w:rPr>
                <w:i/>
                <w:iCs/>
              </w:rPr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/>
                <w:i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3117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  <w:t>-</w:t>
            </w:r>
          </w:p>
        </w:tc>
        <w:tc>
          <w:tcPr>
            <w:tcW w:w="201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Требования к маркировке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48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/>
                <w:iCs/>
                <w:kern w:val="0"/>
                <w:sz w:val="24"/>
                <w:szCs w:val="24"/>
                <w:lang w:val="ru-RU" w:eastAsia="ru-RU" w:bidi="ar-SA"/>
              </w:rPr>
              <w:t>1. Каждое грузовое место должно иметь маркировку, нанесенную на металлический ярлык. Маркировка на ярлыке должна быть выполнена с помощью: клеймением, электрографом, штампом, несмываемой краской или другим способом, обеспечивающим сохранность данных при транспортировке;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/>
                <w:iCs/>
                <w:kern w:val="0"/>
                <w:sz w:val="24"/>
                <w:szCs w:val="24"/>
                <w:lang w:val="ru-RU" w:eastAsia="ru-RU" w:bidi="ar-SA"/>
              </w:rPr>
              <w:t>2. Маркировка поставляемой продукции должна соответствовать требованиям стандартов, установленных действующим законодательством Российской Федерации, в том числе: ГОСТ 7566-2018 «Металлопродукция. Приемка, маркировка, упаковка, транспортирование и хранение»;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/>
                <w:iCs/>
                <w:kern w:val="0"/>
                <w:sz w:val="24"/>
                <w:szCs w:val="24"/>
                <w:lang w:val="ru-RU" w:eastAsia="ru-RU" w:bidi="ar-SA"/>
              </w:rPr>
              <w:t>3. Маркировка должна содержать размер труб, марку стали, вес пачки, товарный знак или наименование и товарный знак предприятия-изготовителя;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/>
                <w:iCs/>
                <w:kern w:val="0"/>
                <w:sz w:val="24"/>
                <w:szCs w:val="24"/>
                <w:lang w:val="ru-RU" w:eastAsia="ru-RU" w:bidi="ar-SA"/>
              </w:rPr>
              <w:t>4. Маркировка упаковки должна строго соответствовать маркировке товара.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/>
                <w:i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311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014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Место поставки</w:t>
            </w:r>
          </w:p>
        </w:tc>
        <w:tc>
          <w:tcPr>
            <w:tcW w:w="48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1. Приемка товара по количеству и качеству осуществляется по адресу: 677004, РФ, РС (Я), г. Якутск, ул. Беринга, 42 Производственная база АО «Сахаэнерго».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bCs/>
                <w:i/>
                <w:i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311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01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663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гарантиям, гарантийному и послегарантийному обслуживанию</w:t>
            </w:r>
          </w:p>
          <w:p>
            <w:pPr>
              <w:pStyle w:val="Normal"/>
              <w:widowControl w:val="false"/>
              <w:suppressAutoHyphens w:val="true"/>
              <w:spacing w:before="20" w:after="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uppressAutoHyphens w:val="true"/>
              <w:spacing w:before="2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3117" w:type="dxa"/>
            <w:tcBorders/>
          </w:tcPr>
          <w:p>
            <w:pPr>
              <w:pStyle w:val="Normal"/>
              <w:widowControl w:val="false"/>
              <w:suppressAutoHyphens w:val="true"/>
              <w:spacing w:before="2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014" w:type="dxa"/>
            <w:tcBorders/>
          </w:tcPr>
          <w:p>
            <w:pPr>
              <w:pStyle w:val="Normal"/>
              <w:widowControl w:val="false"/>
              <w:suppressAutoHyphens w:val="true"/>
              <w:spacing w:before="2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Срок гарантии</w:t>
            </w:r>
          </w:p>
        </w:tc>
        <w:tc>
          <w:tcPr>
            <w:tcW w:w="4822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both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На Товар устанавливается гарантийный срок в течение 24 (двадцать четыре) месяцев с момента ввода в эксплуатацию, но не менее 36 (тридцать шесть) месяцев с момента поставки, который подлежит исчислению с даты подписания Сторонами товарной накладной по форме ТОРГ-12 (УПД)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en-US" w:eastAsia="ru-RU" w:bidi="ar-SA"/>
              </w:rPr>
              <w:t>Указание характеристик</w:t>
            </w:r>
          </w:p>
        </w:tc>
        <w:tc>
          <w:tcPr>
            <w:tcW w:w="3117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</w:tabs>
              <w:suppressAutoHyphens w:val="true"/>
              <w:spacing w:before="40" w:after="0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en-US" w:eastAsia="ru-RU" w:bidi="ar-SA"/>
              </w:rPr>
              <w:t>Предложение по сроку гарантии</w:t>
            </w:r>
          </w:p>
        </w:tc>
        <w:tc>
          <w:tcPr>
            <w:tcW w:w="2014" w:type="dxa"/>
            <w:tcBorders/>
          </w:tcPr>
          <w:p>
            <w:pPr>
              <w:pStyle w:val="Style28"/>
              <w:keepNext w:val="false"/>
              <w:widowControl w:val="false"/>
              <w:numPr>
                <w:ilvl w:val="0"/>
                <w:numId w:val="0"/>
              </w:numPr>
              <w:suppressAutoHyphens w:val="true"/>
              <w:spacing w:before="0" w:after="60"/>
              <w:ind w:left="0" w:hanging="0"/>
              <w:jc w:val="left"/>
              <w:outlineLvl w:val="2"/>
              <w:rPr>
                <w:rFonts w:eastAsia="Times New Roman"/>
                <w:b w:val="false"/>
                <w:lang w:val="ru-RU" w:eastAsia="ru-RU"/>
              </w:rPr>
            </w:pPr>
            <w:r>
              <w:rPr>
                <w:rFonts w:eastAsia="Times New Roman" w:cs="Times New Roman"/>
                <w:b w:val="false"/>
                <w:kern w:val="0"/>
                <w:sz w:val="20"/>
                <w:szCs w:val="20"/>
                <w:lang w:val="ru-RU" w:eastAsia="ru-RU" w:bidi="ar-SA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663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Требования к комплектации и документам, поставляемым вместе с продукцией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3117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014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Документы, передаваемые вместе с оборудованием</w:t>
            </w:r>
          </w:p>
        </w:tc>
        <w:tc>
          <w:tcPr>
            <w:tcW w:w="4822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9"/>
              </w:numPr>
              <w:tabs>
                <w:tab w:val="clear" w:pos="708"/>
                <w:tab w:val="left" w:pos="318" w:leader="none"/>
              </w:tabs>
              <w:suppressAutoHyphens w:val="true"/>
              <w:spacing w:before="0" w:after="0"/>
              <w:ind w:left="35" w:hanging="0"/>
              <w:contextualSpacing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i/>
                <w:iCs/>
                <w:kern w:val="0"/>
                <w:lang w:val="ru-RU" w:eastAsia="ru-RU" w:bidi="ar-SA"/>
              </w:rPr>
              <w:t>Поставщик обязан одновременно с передачей продукции передать Покупателю относящиеся к нему документы, оформленные надлежащим образом: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сертификаты качества;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технические паспорта;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руководства по эксплуатации;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упаковочные листы, упаковочные ярлыки;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товарно-транспортную накладную формы №1-Т;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товарную накладную унифицированной формы ТОРГ-12 (УПД) в 2 экз.;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протоколы заводских испытаний.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311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01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6"/>
              </w:numPr>
              <w:suppressAutoHyphens w:val="true"/>
              <w:spacing w:before="60" w:after="60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6632" w:type="dxa"/>
            <w:gridSpan w:val="2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60" w:after="6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Прочие (дополнительные) требования к продукции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3117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  <w:tc>
          <w:tcPr>
            <w:tcW w:w="2014" w:type="dxa"/>
            <w:tcBorders/>
          </w:tcPr>
          <w:p>
            <w:pPr>
              <w:pStyle w:val="Normal"/>
              <w:widowControl w:val="false"/>
              <w:suppressAutoHyphens w:val="true"/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kern w:val="0"/>
                <w:sz w:val="24"/>
                <w:szCs w:val="24"/>
                <w:lang w:val="ru-RU" w:eastAsia="ru-RU" w:bidi="ar-SA"/>
              </w:rPr>
              <w:t>-//-</w:t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Сведения о новизне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i/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</w:p>
        </w:tc>
        <w:tc>
          <w:tcPr>
            <w:tcW w:w="482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Поставляемая  продукция должна быть новой (не бывшей в эксплуатации, не допускается поставка выставочных образцов), свободной от третьих лиц и работоспособной.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Дата выпуска: Не ранее 2026 года.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311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01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W w:w="85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1"/>
                <w:numId w:val="6"/>
              </w:numPr>
              <w:suppressAutoHyphens w:val="true"/>
              <w:spacing w:before="60" w:after="60"/>
              <w:ind w:left="-117" w:firstLine="142"/>
              <w:contextualSpacing/>
              <w:jc w:val="center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kern w:val="0"/>
                <w:lang w:val="ru-RU" w:eastAsia="ru-RU" w:bidi="ar-SA"/>
              </w:rPr>
            </w:r>
          </w:p>
        </w:tc>
        <w:tc>
          <w:tcPr>
            <w:tcW w:w="181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kern w:val="0"/>
                <w:highlight w:val="none"/>
                <w:shd w:fill="auto" w:val="clear"/>
                <w:lang w:val="ru-RU" w:eastAsia="ru-RU" w:bidi="ar-SA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shd w:fill="auto" w:val="clear"/>
                <w:lang w:val="ru-RU" w:eastAsia="ru-RU" w:bidi="ar-SA"/>
              </w:rPr>
              <w:t>Условия поставки эквивалентной продукции</w:t>
            </w:r>
          </w:p>
        </w:tc>
        <w:tc>
          <w:tcPr>
            <w:tcW w:w="4822" w:type="dxa"/>
            <w:tcBorders/>
            <w:vAlign w:val="center"/>
          </w:tcPr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318" w:leader="none"/>
              </w:tabs>
              <w:suppressAutoHyphens w:val="true"/>
              <w:spacing w:before="0" w:after="0"/>
              <w:ind w:left="35" w:hanging="0"/>
              <w:contextualSpacing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i/>
                <w:iCs/>
                <w:kern w:val="0"/>
                <w:lang w:val="ru-RU" w:eastAsia="ru-RU" w:bidi="ar-SA"/>
              </w:rPr>
              <w:t>Участник должен принять во внимание, что ссылка на марку (тип) продукции, носит описательный, а не обязательный характер. В случае если Участником предлагаются эквиваленты требуемой Заказчиком продукции, в составе своего технического предложения он должен в обязательном порядке предоставить подробное техническое описание предлагаемого к поставке эквивалента, в объеме не меньшем, чем это указано в настоящих Технических требованиях. Отсутствие в составе технико-коммерческого предложения подробного технического описания эквивалента продукции будет являться причиной отклонения предложения Участника.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tabs>
                <w:tab w:val="clear" w:pos="708"/>
                <w:tab w:val="left" w:pos="318" w:leader="none"/>
              </w:tabs>
              <w:suppressAutoHyphens w:val="true"/>
              <w:spacing w:before="0" w:after="0"/>
              <w:ind w:left="35" w:hanging="0"/>
              <w:contextualSpacing/>
              <w:jc w:val="left"/>
              <w:rPr>
                <w:rFonts w:ascii="Times New Roman" w:hAnsi="Times New Roman" w:cs="Times New Roman"/>
                <w:kern w:val="0"/>
                <w:lang w:val="ru-RU" w:eastAsia="ru-RU" w:bidi="ar-SA"/>
              </w:rPr>
            </w:pPr>
            <w:r>
              <w:rPr>
                <w:rFonts w:cs="Times New Roman"/>
                <w:i/>
                <w:iCs/>
                <w:kern w:val="0"/>
                <w:lang w:val="ru-RU" w:eastAsia="ru-RU" w:bidi="ar-SA"/>
              </w:rPr>
              <w:t>Эквивалентная продукция - это продукция, которое по техническим и функциональным характеристикам не уступают характеристикам, заявленным в закупочной документации, в том числе по гарантийным срокам и срокам эксплуатации.</w:t>
            </w:r>
          </w:p>
        </w:tc>
        <w:tc>
          <w:tcPr>
            <w:tcW w:w="2693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i/>
                <w:iCs/>
                <w:kern w:val="0"/>
                <w:sz w:val="24"/>
                <w:szCs w:val="24"/>
                <w:lang w:val="ru-RU" w:eastAsia="ru-RU" w:bidi="ar-SA"/>
              </w:rPr>
              <w:t>Согласие с требованием</w:t>
            </w:r>
          </w:p>
        </w:tc>
        <w:tc>
          <w:tcPr>
            <w:tcW w:w="311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sz w:val="24"/>
                <w:szCs w:val="24"/>
              </w:rPr>
            </w:pPr>
            <w:r>
              <w:rPr>
                <w:rFonts w:eastAsia="Times New Roman" w:cs="Times New Roman"/>
                <w:kern w:val="0"/>
                <w:sz w:val="24"/>
                <w:szCs w:val="24"/>
                <w:lang w:val="ru-RU" w:eastAsia="ru-RU" w:bidi="ar-SA"/>
              </w:rPr>
              <w:t>-</w:t>
            </w:r>
          </w:p>
        </w:tc>
        <w:tc>
          <w:tcPr>
            <w:tcW w:w="201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tabs>
          <w:tab w:val="clear" w:pos="708"/>
          <w:tab w:val="left" w:pos="6090" w:leader="none"/>
        </w:tabs>
        <w:suppressAutoHyphens w:val="false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6090" w:leader="none"/>
        </w:tabs>
        <w:suppressAutoHyphens w:val="false"/>
        <w:jc w:val="both"/>
        <w:rPr>
          <w:sz w:val="24"/>
          <w:szCs w:val="24"/>
        </w:rPr>
      </w:pPr>
      <w:r>
        <w:rPr>
          <w:sz w:val="24"/>
          <w:szCs w:val="24"/>
        </w:rPr>
        <w:t>Участник должен предоставить подробное предложение по форме, заполненной в части столбца 6 «Предложение участника по характеристикам и параметрам», Таблицы 3 настоящих ТТ, без корректировки уже имеющейся в таблице информации и требований, в том числе Участником заполняется Таблица 3.1 Требования к продукции (индивидуальные требования по каждой позиции перечня продукции) в части столбцов 7-10 раздела Предложения Участника.</w:t>
      </w:r>
    </w:p>
    <w:p>
      <w:pPr>
        <w:pStyle w:val="Normal"/>
        <w:spacing w:before="120" w:after="60"/>
        <w:rPr>
          <w:sz w:val="24"/>
          <w:szCs w:val="24"/>
        </w:rPr>
      </w:pPr>
      <w:r>
        <w:rPr>
          <w:sz w:val="24"/>
          <w:szCs w:val="24"/>
        </w:rPr>
        <w:t>В случае изменения или заполнения в колонке заказчика заявка подлежит отклонению.</w:t>
      </w:r>
    </w:p>
    <w:p>
      <w:pPr>
        <w:pStyle w:val="Heading2"/>
        <w:numPr>
          <w:ilvl w:val="0"/>
        </w:numPr>
        <w:tabs>
          <w:tab w:val="clear" w:pos="0"/>
        </w:tabs>
        <w:ind w:left="432" w:hanging="0"/>
        <w:jc w:val="both"/>
        <w:rPr>
          <w:highlight w:val="yellow"/>
        </w:rPr>
      </w:pPr>
      <w:r>
        <w:rPr>
          <w:highlight w:val="yellow"/>
        </w:rPr>
      </w:r>
    </w:p>
    <w:p>
      <w:pPr>
        <w:pStyle w:val="Heading2"/>
        <w:numPr>
          <w:ilvl w:val="0"/>
        </w:numPr>
        <w:tabs>
          <w:tab w:val="clear" w:pos="0"/>
        </w:tabs>
        <w:ind w:left="432" w:hanging="0"/>
        <w:jc w:val="both"/>
        <w:rPr>
          <w:highlight w:val="yellow"/>
        </w:rPr>
      </w:pPr>
      <w:r>
        <w:rPr>
          <w:highlight w:val="yellow"/>
        </w:rPr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Heading2"/>
        <w:numPr>
          <w:ilvl w:val="0"/>
        </w:numPr>
        <w:tabs>
          <w:tab w:val="clear" w:pos="0"/>
        </w:tabs>
        <w:ind w:left="432" w:hanging="0"/>
        <w:jc w:val="both"/>
        <w:rPr>
          <w:highlight w:val="none"/>
          <w:shd w:fill="auto" w:val="clear"/>
        </w:rPr>
      </w:pPr>
      <w:bookmarkStart w:id="30" w:name="_Toc124165074"/>
      <w:r>
        <w:rPr>
          <w:shd w:fill="auto" w:val="clear"/>
        </w:rPr>
        <w:t>Таблица </w:t>
      </w:r>
      <w:r>
        <w:rPr>
          <w:shd w:fill="auto" w:val="clear"/>
          <w:lang w:val="ru-RU"/>
        </w:rPr>
        <w:t>3</w:t>
      </w:r>
      <w:r>
        <w:rPr>
          <w:shd w:fill="auto" w:val="clear"/>
        </w:rPr>
        <w:t xml:space="preserve">.1 Требования к </w:t>
      </w:r>
      <w:bookmarkEnd w:id="30"/>
      <w:r>
        <w:rPr>
          <w:shd w:fill="auto" w:val="clear"/>
          <w:lang w:val="ru-RU"/>
        </w:rPr>
        <w:t>продукции</w:t>
      </w:r>
      <w:r>
        <w:rPr>
          <w:shd w:fill="auto" w:val="clear"/>
        </w:rPr>
        <w:t xml:space="preserve">  (индивидуальные требования по каждой позиции перечня продукции)</w:t>
      </w:r>
    </w:p>
    <w:p>
      <w:pPr>
        <w:pStyle w:val="Normal"/>
        <w:keepNext w:val="true"/>
        <w:spacing w:before="0" w:after="120"/>
        <w:ind w:left="-57" w:right="397" w:hanging="0"/>
        <w:jc w:val="both"/>
        <w:rPr>
          <w:rStyle w:val="Style8"/>
          <w:b w:val="false"/>
          <w:sz w:val="24"/>
          <w:szCs w:val="24"/>
          <w:shd w:fill="auto" w:val="clear"/>
        </w:rPr>
      </w:pPr>
      <w:r>
        <w:rPr>
          <w:b w:val="false"/>
          <w:sz w:val="24"/>
          <w:szCs w:val="24"/>
          <w:shd w:fill="auto" w:val="clear"/>
        </w:rPr>
      </w:r>
    </w:p>
    <w:p>
      <w:pPr>
        <w:pStyle w:val="Normal"/>
        <w:spacing w:before="0" w:after="120"/>
        <w:ind w:left="-57" w:right="397" w:hanging="0"/>
        <w:jc w:val="both"/>
        <w:rPr>
          <w:rStyle w:val="Style8"/>
          <w:b w:val="false"/>
          <w:sz w:val="24"/>
          <w:szCs w:val="24"/>
          <w:shd w:fill="auto" w:val="clear"/>
        </w:rPr>
      </w:pPr>
      <w:r>
        <w:rPr>
          <w:b/>
          <w:bCs/>
          <w:sz w:val="24"/>
          <w:szCs w:val="24"/>
        </w:rPr>
        <w:t xml:space="preserve">Наименование продукции: </w:t>
      </w:r>
      <w:r>
        <w:rPr>
          <w:rStyle w:val="Hyperlink"/>
          <w:rFonts w:eastAsia="Calibri" w:cs="Times New Roman"/>
          <w:b/>
          <w:bCs/>
          <w:i w:val="false"/>
          <w:caps w:val="false"/>
          <w:smallCaps w:val="false"/>
          <w:color w:val="000000"/>
          <w:spacing w:val="0"/>
          <w:kern w:val="0"/>
          <w:sz w:val="24"/>
          <w:szCs w:val="24"/>
          <w:u w:val="none"/>
          <w:shd w:fill="auto" w:val="clear"/>
          <w:lang w:val="ru-RU" w:eastAsia="ru-RU" w:bidi="ar-SA"/>
        </w:rPr>
        <w:t>Поставка листов стальных горячекатанных для ремонта баржи МП-314 АО «Сахаэнерго»</w:t>
      </w:r>
    </w:p>
    <w:p>
      <w:pPr>
        <w:pStyle w:val="Heading3"/>
        <w:numPr>
          <w:ilvl w:val="0"/>
          <w:numId w:val="0"/>
        </w:numPr>
        <w:ind w:left="567" w:hanging="0"/>
        <w:rPr>
          <w:i/>
          <w:i/>
          <w:iCs/>
          <w:sz w:val="22"/>
          <w:szCs w:val="22"/>
        </w:rPr>
      </w:pPr>
      <w:r>
        <w:rPr>
          <w:i/>
          <w:iCs/>
          <w:sz w:val="22"/>
          <w:szCs w:val="22"/>
        </w:rPr>
      </w:r>
    </w:p>
    <w:tbl>
      <w:tblPr>
        <w:tblStyle w:val="1d"/>
        <w:tblW w:w="15309" w:type="dxa"/>
        <w:jc w:val="left"/>
        <w:tblInd w:w="-5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VBand="1" w:noHBand="0" w:lastColumn="0" w:firstColumn="1" w:lastRow="0" w:firstRow="1"/>
      </w:tblPr>
      <w:tblGrid>
        <w:gridCol w:w="497"/>
        <w:gridCol w:w="1248"/>
        <w:gridCol w:w="2330"/>
        <w:gridCol w:w="1814"/>
        <w:gridCol w:w="2590"/>
        <w:gridCol w:w="1485"/>
        <w:gridCol w:w="1396"/>
        <w:gridCol w:w="946"/>
        <w:gridCol w:w="1531"/>
        <w:gridCol w:w="1470"/>
      </w:tblGrid>
      <w:tr>
        <w:trPr>
          <w:trHeight w:val="311" w:hRule="atLeast"/>
        </w:trPr>
        <w:tc>
          <w:tcPr>
            <w:tcW w:w="497" w:type="dxa"/>
            <w:vMerge w:val="restart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Calibri" w:cstheme="minorHAnsi"/>
                <w:sz w:val="20"/>
                <w:szCs w:val="20"/>
              </w:rPr>
            </w:pPr>
            <w:r>
              <w:rPr>
                <w:rFonts w:eastAsia="Calibri" w:cs="Calibri" w:ascii="Calibri" w:hAnsi="Calibri" w:cstheme="minorHAnsi"/>
                <w:b/>
                <w:kern w:val="0"/>
                <w:sz w:val="20"/>
                <w:szCs w:val="20"/>
                <w:lang w:val="ru-RU" w:eastAsia="en-US" w:bidi="ar-SA"/>
              </w:rPr>
              <w:t xml:space="preserve">№ </w:t>
            </w:r>
            <w:r>
              <w:rPr>
                <w:rFonts w:eastAsia="Calibri" w:cs="Calibri" w:ascii="Calibri" w:hAnsi="Calibri" w:cstheme="minorHAnsi"/>
                <w:b/>
                <w:kern w:val="0"/>
                <w:sz w:val="20"/>
                <w:szCs w:val="20"/>
                <w:lang w:val="ru-RU" w:eastAsia="en-US" w:bidi="ar-SA"/>
              </w:rPr>
              <w:t>п/п</w:t>
            </w:r>
          </w:p>
        </w:tc>
        <w:tc>
          <w:tcPr>
            <w:tcW w:w="1248" w:type="dxa"/>
            <w:vMerge w:val="restart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Calibri" w:cstheme="minorHAnsi"/>
                <w:sz w:val="20"/>
                <w:szCs w:val="20"/>
              </w:rPr>
            </w:pPr>
            <w:r>
              <w:rPr>
                <w:rFonts w:eastAsia="Calibri" w:cs="Calibri" w:ascii="Calibri" w:hAnsi="Calibri" w:cstheme="minorHAnsi"/>
                <w:b/>
                <w:kern w:val="0"/>
                <w:sz w:val="20"/>
                <w:szCs w:val="20"/>
                <w:lang w:val="ru-RU" w:eastAsia="en-US" w:bidi="ar-SA"/>
              </w:rPr>
              <w:t xml:space="preserve">№ </w:t>
            </w:r>
            <w:r>
              <w:rPr>
                <w:rFonts w:eastAsia="Calibri" w:cs="Calibri" w:ascii="Calibri" w:hAnsi="Calibri" w:cstheme="minorHAnsi"/>
                <w:b/>
                <w:kern w:val="0"/>
                <w:sz w:val="20"/>
                <w:szCs w:val="20"/>
                <w:lang w:val="ru-RU" w:eastAsia="en-US" w:bidi="ar-SA"/>
              </w:rPr>
              <w:t xml:space="preserve">позиции </w:t>
              <w:br/>
              <w:t>Таблицы 1. «Перечень и объем закупаемой продукции»</w:t>
            </w:r>
          </w:p>
        </w:tc>
        <w:tc>
          <w:tcPr>
            <w:tcW w:w="2330" w:type="dxa"/>
            <w:vMerge w:val="restart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Calibri" w:cstheme="minorHAnsi"/>
                <w:sz w:val="20"/>
                <w:szCs w:val="20"/>
              </w:rPr>
            </w:pPr>
            <w:r>
              <w:rPr>
                <w:rFonts w:eastAsia="Calibri" w:cs="Calibri" w:ascii="Calibri" w:hAnsi="Calibri" w:cstheme="minorHAnsi"/>
                <w:b/>
                <w:kern w:val="0"/>
                <w:sz w:val="20"/>
                <w:szCs w:val="20"/>
                <w:lang w:val="ru-RU" w:eastAsia="en-US" w:bidi="ar-SA"/>
              </w:rPr>
              <w:t>Наименование продукции</w:t>
            </w:r>
          </w:p>
        </w:tc>
        <w:tc>
          <w:tcPr>
            <w:tcW w:w="5889" w:type="dxa"/>
            <w:gridSpan w:val="3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Calibri" w:cstheme="minorHAnsi"/>
                <w:sz w:val="20"/>
                <w:szCs w:val="20"/>
              </w:rPr>
            </w:pPr>
            <w:r>
              <w:rPr>
                <w:rFonts w:eastAsia="Calibri" w:cs="Calibri" w:ascii="Calibri" w:hAnsi="Calibri" w:cstheme="minorHAnsi"/>
                <w:b/>
                <w:kern w:val="0"/>
                <w:sz w:val="20"/>
                <w:szCs w:val="20"/>
                <w:lang w:val="ru-RU" w:eastAsia="en-US" w:bidi="ar-SA"/>
              </w:rPr>
              <w:t>Требования заказчика *</w:t>
            </w:r>
          </w:p>
        </w:tc>
        <w:tc>
          <w:tcPr>
            <w:tcW w:w="5343" w:type="dxa"/>
            <w:gridSpan w:val="4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Calibri" w:cstheme="minorHAnsi"/>
                <w:sz w:val="20"/>
                <w:szCs w:val="20"/>
              </w:rPr>
            </w:pPr>
            <w:r>
              <w:rPr>
                <w:rFonts w:eastAsia="Calibri" w:cs="Calibri" w:ascii="Calibri" w:hAnsi="Calibri" w:cstheme="minorHAnsi"/>
                <w:b/>
                <w:kern w:val="0"/>
                <w:sz w:val="20"/>
                <w:szCs w:val="20"/>
                <w:lang w:val="ru-RU" w:eastAsia="en-US" w:bidi="ar-SA"/>
              </w:rPr>
              <w:t>Предложения участника**</w:t>
            </w:r>
          </w:p>
        </w:tc>
      </w:tr>
      <w:tr>
        <w:trPr>
          <w:trHeight w:val="726" w:hRule="atLeast"/>
        </w:trPr>
        <w:tc>
          <w:tcPr>
            <w:tcW w:w="497" w:type="dxa"/>
            <w:vMerge w:val="continue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cs="Calibri" w:cs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</w:r>
          </w:p>
        </w:tc>
        <w:tc>
          <w:tcPr>
            <w:tcW w:w="1248" w:type="dxa"/>
            <w:vMerge w:val="continue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cs="Calibri" w:cs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</w:r>
          </w:p>
        </w:tc>
        <w:tc>
          <w:tcPr>
            <w:tcW w:w="2330" w:type="dxa"/>
            <w:vMerge w:val="continue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cs="Calibri" w:cstheme="minorHAnsi"/>
                <w:sz w:val="20"/>
                <w:szCs w:val="20"/>
              </w:rPr>
            </w:pPr>
            <w:r>
              <w:rPr>
                <w:rFonts w:cs="Calibri" w:cstheme="minorHAnsi"/>
                <w:sz w:val="20"/>
                <w:szCs w:val="20"/>
              </w:rPr>
            </w:r>
          </w:p>
        </w:tc>
        <w:tc>
          <w:tcPr>
            <w:tcW w:w="18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Calibri" w:cstheme="minorHAnsi"/>
                <w:sz w:val="20"/>
                <w:szCs w:val="20"/>
              </w:rPr>
            </w:pPr>
            <w:r>
              <w:rPr>
                <w:rFonts w:eastAsia="Calibri" w:cs="Calibri" w:ascii="Calibri" w:hAnsi="Calibri" w:cstheme="minorHAnsi"/>
                <w:b/>
                <w:kern w:val="0"/>
                <w:sz w:val="20"/>
                <w:szCs w:val="20"/>
                <w:lang w:val="ru-RU" w:eastAsia="en-US" w:bidi="ar-SA"/>
              </w:rPr>
              <w:t>ГОСТ</w:t>
            </w:r>
            <w:bookmarkStart w:id="31" w:name="_GoBack"/>
            <w:bookmarkEnd w:id="31"/>
            <w:r>
              <w:rPr>
                <w:rFonts w:eastAsia="Calibri" w:cs="Calibri" w:ascii="Calibri" w:hAnsi="Calibri" w:cstheme="minorHAnsi"/>
                <w:b/>
                <w:kern w:val="0"/>
                <w:sz w:val="20"/>
                <w:szCs w:val="20"/>
                <w:lang w:val="ru-RU" w:eastAsia="en-US" w:bidi="ar-SA"/>
              </w:rPr>
              <w:t>***</w:t>
            </w:r>
          </w:p>
        </w:tc>
        <w:tc>
          <w:tcPr>
            <w:tcW w:w="259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Calibri" w:cstheme="minorHAnsi"/>
                <w:sz w:val="20"/>
                <w:szCs w:val="20"/>
              </w:rPr>
            </w:pPr>
            <w:r>
              <w:rPr>
                <w:rFonts w:eastAsia="Calibri" w:cs="Calibri" w:ascii="Calibri" w:hAnsi="Calibri" w:cstheme="minorHAnsi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Calibri" w:cstheme="minorHAnsi"/>
                <w:sz w:val="20"/>
                <w:szCs w:val="20"/>
              </w:rPr>
            </w:pPr>
            <w:r>
              <w:rPr>
                <w:rFonts w:eastAsia="Calibri" w:cs="Calibri" w:ascii="Calibri" w:hAnsi="Calibri" w:cstheme="minorHAnsi"/>
                <w:b/>
                <w:bCs/>
                <w:kern w:val="0"/>
                <w:sz w:val="20"/>
                <w:szCs w:val="20"/>
                <w:lang w:val="ru-RU" w:eastAsia="en-US" w:bidi="ar-SA"/>
              </w:rPr>
              <w:t>(параметры эквивалентности)</w:t>
            </w:r>
          </w:p>
        </w:tc>
        <w:tc>
          <w:tcPr>
            <w:tcW w:w="14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Calibri" w:cstheme="minorHAnsi"/>
                <w:sz w:val="20"/>
                <w:szCs w:val="20"/>
              </w:rPr>
            </w:pPr>
            <w:r>
              <w:rPr>
                <w:rFonts w:eastAsia="Calibri" w:cs="Calibri" w:ascii="Calibri" w:hAnsi="Calibri" w:cstheme="minorHAnsi"/>
                <w:b/>
                <w:kern w:val="0"/>
                <w:sz w:val="20"/>
                <w:szCs w:val="20"/>
                <w:lang w:val="ru-RU" w:eastAsia="en-US" w:bidi="ar-SA"/>
              </w:rPr>
              <w:t>Место поставки</w:t>
            </w:r>
          </w:p>
        </w:tc>
        <w:tc>
          <w:tcPr>
            <w:tcW w:w="139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Calibri" w:cstheme="minorHAnsi"/>
                <w:sz w:val="20"/>
                <w:szCs w:val="20"/>
              </w:rPr>
            </w:pPr>
            <w:r>
              <w:rPr>
                <w:rFonts w:eastAsia="Calibri" w:cs="Calibri" w:ascii="Calibri" w:hAnsi="Calibri" w:cstheme="minorHAnsi"/>
                <w:b/>
                <w:kern w:val="0"/>
                <w:sz w:val="20"/>
                <w:szCs w:val="20"/>
                <w:lang w:val="ru-RU" w:eastAsia="en-US" w:bidi="ar-SA"/>
              </w:rPr>
              <w:t>Наименование продукции</w:t>
            </w:r>
          </w:p>
        </w:tc>
        <w:tc>
          <w:tcPr>
            <w:tcW w:w="9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Calibri" w:cstheme="minorHAnsi"/>
                <w:sz w:val="20"/>
                <w:szCs w:val="20"/>
              </w:rPr>
            </w:pPr>
            <w:r>
              <w:rPr>
                <w:rFonts w:eastAsia="Calibri" w:cs="Calibri" w:ascii="Calibri" w:hAnsi="Calibri" w:cstheme="minorHAnsi"/>
                <w:b/>
                <w:kern w:val="0"/>
                <w:sz w:val="20"/>
                <w:szCs w:val="20"/>
                <w:lang w:val="ru-RU" w:eastAsia="en-US" w:bidi="ar-SA"/>
              </w:rPr>
              <w:t>ГОСТ</w:t>
            </w:r>
          </w:p>
        </w:tc>
        <w:tc>
          <w:tcPr>
            <w:tcW w:w="153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Calibri" w:cstheme="minorHAnsi"/>
                <w:sz w:val="20"/>
                <w:szCs w:val="20"/>
              </w:rPr>
            </w:pPr>
            <w:r>
              <w:rPr>
                <w:rFonts w:eastAsia="Calibri" w:cs="Calibri" w:ascii="Calibri" w:hAnsi="Calibri" w:cstheme="minorHAnsi"/>
                <w:b/>
                <w:kern w:val="0"/>
                <w:sz w:val="20"/>
                <w:szCs w:val="20"/>
                <w:lang w:val="ru-RU" w:eastAsia="en-US" w:bidi="ar-SA"/>
              </w:rPr>
              <w:t>Технические и функциональные характеристики</w:t>
            </w:r>
          </w:p>
        </w:tc>
        <w:tc>
          <w:tcPr>
            <w:tcW w:w="147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Calibri" w:cstheme="minorHAnsi"/>
                <w:sz w:val="20"/>
                <w:szCs w:val="20"/>
              </w:rPr>
            </w:pPr>
            <w:r>
              <w:rPr>
                <w:rFonts w:eastAsia="Calibri" w:cs="Calibri" w:ascii="Calibri" w:hAnsi="Calibri" w:cstheme="minorHAnsi"/>
                <w:b/>
                <w:kern w:val="0"/>
                <w:sz w:val="20"/>
                <w:szCs w:val="20"/>
                <w:lang w:val="ru-RU" w:eastAsia="en-US" w:bidi="ar-SA"/>
              </w:rPr>
              <w:t>Место поставки</w:t>
            </w:r>
          </w:p>
        </w:tc>
      </w:tr>
      <w:tr>
        <w:trPr>
          <w:trHeight w:val="223" w:hRule="atLeast"/>
        </w:trPr>
        <w:tc>
          <w:tcPr>
            <w:tcW w:w="49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Calibri" w:cstheme="minorHAnsi"/>
                <w:sz w:val="20"/>
                <w:szCs w:val="20"/>
              </w:rPr>
            </w:pPr>
            <w:r>
              <w:rPr>
                <w:rFonts w:eastAsia="Calibri" w:cs="Calibri" w:ascii="Calibri" w:hAnsi="Calibri" w:cstheme="minorHAnsi"/>
                <w:b/>
                <w:kern w:val="0"/>
                <w:sz w:val="20"/>
                <w:szCs w:val="20"/>
                <w:lang w:val="ru-RU" w:eastAsia="en-US" w:bidi="ar-SA"/>
              </w:rPr>
              <w:t>1</w:t>
            </w:r>
          </w:p>
        </w:tc>
        <w:tc>
          <w:tcPr>
            <w:tcW w:w="124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Calibri" w:cstheme="minorHAnsi"/>
                <w:sz w:val="20"/>
                <w:szCs w:val="20"/>
              </w:rPr>
            </w:pPr>
            <w:r>
              <w:rPr>
                <w:rFonts w:eastAsia="Calibri" w:cs="Calibri" w:ascii="Calibri" w:hAnsi="Calibri" w:cstheme="minorHAnsi"/>
                <w:b/>
                <w:kern w:val="0"/>
                <w:sz w:val="20"/>
                <w:szCs w:val="20"/>
                <w:lang w:val="ru-RU" w:eastAsia="en-US" w:bidi="ar-SA"/>
              </w:rPr>
              <w:t>2</w:t>
            </w:r>
          </w:p>
        </w:tc>
        <w:tc>
          <w:tcPr>
            <w:tcW w:w="2330" w:type="dxa"/>
            <w:tcBorders>
              <w:right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Calibri" w:cstheme="minorHAnsi"/>
                <w:sz w:val="20"/>
                <w:szCs w:val="20"/>
              </w:rPr>
            </w:pPr>
            <w:r>
              <w:rPr>
                <w:rFonts w:eastAsia="Calibri" w:cs="Calibri" w:ascii="Calibri" w:hAnsi="Calibri" w:cstheme="minorHAnsi"/>
                <w:b/>
                <w:kern w:val="0"/>
                <w:sz w:val="20"/>
                <w:szCs w:val="20"/>
                <w:lang w:val="ru-RU" w:eastAsia="en-US" w:bidi="ar-SA"/>
              </w:rPr>
              <w:t>3</w:t>
            </w:r>
          </w:p>
        </w:tc>
        <w:tc>
          <w:tcPr>
            <w:tcW w:w="181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Calibri" w:cstheme="minorHAnsi"/>
                <w:sz w:val="20"/>
                <w:szCs w:val="20"/>
              </w:rPr>
            </w:pPr>
            <w:r>
              <w:rPr>
                <w:rFonts w:eastAsia="Calibri" w:cs="Calibri" w:ascii="Calibri" w:hAnsi="Calibri" w:cstheme="minorHAnsi"/>
                <w:b/>
                <w:kern w:val="0"/>
                <w:sz w:val="20"/>
                <w:szCs w:val="20"/>
                <w:lang w:val="ru-RU" w:eastAsia="en-US" w:bidi="ar-SA"/>
              </w:rPr>
              <w:t>4</w:t>
            </w:r>
          </w:p>
        </w:tc>
        <w:tc>
          <w:tcPr>
            <w:tcW w:w="259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Calibri" w:cstheme="minorHAnsi"/>
                <w:sz w:val="20"/>
                <w:szCs w:val="20"/>
              </w:rPr>
            </w:pPr>
            <w:r>
              <w:rPr>
                <w:rFonts w:eastAsia="Calibri" w:cs="Calibri" w:ascii="Calibri" w:hAnsi="Calibri" w:cstheme="minorHAnsi"/>
                <w:b/>
                <w:kern w:val="0"/>
                <w:sz w:val="20"/>
                <w:szCs w:val="20"/>
                <w:lang w:val="ru-RU" w:eastAsia="en-US" w:bidi="ar-SA"/>
              </w:rPr>
              <w:t>5</w:t>
            </w:r>
          </w:p>
        </w:tc>
        <w:tc>
          <w:tcPr>
            <w:tcW w:w="148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Calibri" w:cstheme="minorHAnsi"/>
                <w:sz w:val="20"/>
                <w:szCs w:val="20"/>
              </w:rPr>
            </w:pPr>
            <w:r>
              <w:rPr>
                <w:rFonts w:eastAsia="Calibri" w:cs="Calibri" w:ascii="Calibri" w:hAnsi="Calibri" w:cstheme="minorHAnsi"/>
                <w:b/>
                <w:kern w:val="0"/>
                <w:sz w:val="20"/>
                <w:szCs w:val="20"/>
                <w:lang w:val="ru-RU" w:eastAsia="en-US" w:bidi="ar-SA"/>
              </w:rPr>
              <w:t>6</w:t>
            </w:r>
          </w:p>
        </w:tc>
        <w:tc>
          <w:tcPr>
            <w:tcW w:w="139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Calibri" w:cstheme="minorHAnsi"/>
                <w:sz w:val="20"/>
                <w:szCs w:val="20"/>
              </w:rPr>
            </w:pPr>
            <w:r>
              <w:rPr>
                <w:rFonts w:eastAsia="Calibri" w:cs="Calibri" w:ascii="Calibri" w:hAnsi="Calibri" w:cstheme="minorHAnsi"/>
                <w:b/>
                <w:kern w:val="0"/>
                <w:sz w:val="20"/>
                <w:szCs w:val="20"/>
                <w:lang w:val="ru-RU" w:eastAsia="en-US" w:bidi="ar-SA"/>
              </w:rPr>
              <w:t>7</w:t>
            </w:r>
          </w:p>
        </w:tc>
        <w:tc>
          <w:tcPr>
            <w:tcW w:w="9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Calibri" w:cstheme="minorHAnsi"/>
                <w:sz w:val="20"/>
                <w:szCs w:val="20"/>
              </w:rPr>
            </w:pPr>
            <w:r>
              <w:rPr>
                <w:rFonts w:eastAsia="Calibri" w:cs="Calibri" w:ascii="Calibri" w:hAnsi="Calibri" w:cstheme="minorHAnsi"/>
                <w:b/>
                <w:kern w:val="0"/>
                <w:sz w:val="20"/>
                <w:szCs w:val="20"/>
                <w:lang w:val="ru-RU" w:eastAsia="en-US" w:bidi="ar-SA"/>
              </w:rPr>
              <w:t>8</w:t>
            </w:r>
          </w:p>
        </w:tc>
        <w:tc>
          <w:tcPr>
            <w:tcW w:w="153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Calibri" w:cstheme="minorHAnsi"/>
                <w:sz w:val="20"/>
                <w:szCs w:val="20"/>
              </w:rPr>
            </w:pPr>
            <w:r>
              <w:rPr>
                <w:rFonts w:eastAsia="Calibri" w:cs="Calibri" w:ascii="Calibri" w:hAnsi="Calibri" w:cstheme="minorHAnsi"/>
                <w:b/>
                <w:kern w:val="0"/>
                <w:sz w:val="20"/>
                <w:szCs w:val="20"/>
                <w:lang w:val="ru-RU" w:eastAsia="en-US" w:bidi="ar-SA"/>
              </w:rPr>
              <w:t>9</w:t>
            </w:r>
          </w:p>
        </w:tc>
        <w:tc>
          <w:tcPr>
            <w:tcW w:w="147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jc w:val="center"/>
              <w:rPr>
                <w:rFonts w:cs="Calibri" w:cstheme="minorHAnsi"/>
                <w:sz w:val="20"/>
                <w:szCs w:val="20"/>
              </w:rPr>
            </w:pPr>
            <w:r>
              <w:rPr>
                <w:rFonts w:eastAsia="Calibri" w:cs="Calibri" w:ascii="Calibri" w:hAnsi="Calibri" w:cstheme="minorHAnsi"/>
                <w:b/>
                <w:kern w:val="0"/>
                <w:sz w:val="20"/>
                <w:szCs w:val="20"/>
                <w:lang w:val="ru-RU" w:eastAsia="en-US" w:bidi="ar-SA"/>
              </w:rPr>
              <w:t>10</w:t>
            </w:r>
          </w:p>
        </w:tc>
      </w:tr>
      <w:tr>
        <w:trPr/>
        <w:tc>
          <w:tcPr>
            <w:tcW w:w="497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1"/>
              </w:numPr>
              <w:suppressAutoHyphens w:val="true"/>
              <w:spacing w:before="0" w:after="0"/>
              <w:contextualSpacing/>
              <w:jc w:val="left"/>
              <w:rPr>
                <w:rFonts w:eastAsia="Calibri" w:cs="Calibri" w:cstheme="minorHAnsi" w:eastAsiaTheme="minorHAnsi"/>
                <w:sz w:val="20"/>
                <w:szCs w:val="20"/>
              </w:rPr>
            </w:pPr>
            <w:r>
              <w:rPr>
                <w:rFonts w:eastAsia="Calibri" w:cs="Calibri" w:cstheme="minorHAnsi" w:eastAsiaTheme="minorHAnsi"/>
                <w:sz w:val="20"/>
                <w:szCs w:val="20"/>
              </w:rPr>
            </w:r>
          </w:p>
        </w:tc>
        <w:tc>
          <w:tcPr>
            <w:tcW w:w="1248" w:type="dxa"/>
            <w:tcBorders/>
          </w:tcPr>
          <w:p>
            <w:pPr>
              <w:pStyle w:val="Style35"/>
              <w:widowControl w:val="false"/>
              <w:suppressAutoHyphens w:val="true"/>
              <w:spacing w:before="0" w:after="0"/>
              <w:jc w:val="left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eastAsia="Calibri" w:cs="Calibri" w:ascii="Calibri" w:hAnsi="Calibri" w:cstheme="minorHAnsi"/>
                <w:color w:val="000000"/>
                <w:kern w:val="0"/>
                <w:sz w:val="20"/>
                <w:szCs w:val="20"/>
                <w:lang w:val="ru-RU" w:eastAsia="en-US" w:bidi="ar-SA"/>
              </w:rPr>
              <w:t>Позиция 1</w:t>
            </w:r>
          </w:p>
        </w:tc>
        <w:tc>
          <w:tcPr>
            <w:tcW w:w="2330" w:type="dxa"/>
            <w:tcBorders>
              <w:right w:val="nil"/>
            </w:tcBorders>
          </w:tcPr>
          <w:p>
            <w:pPr>
              <w:pStyle w:val="Style35"/>
              <w:widowControl w:val="false"/>
              <w:suppressAutoHyphens w:val="true"/>
              <w:spacing w:before="0" w:after="0"/>
              <w:jc w:val="left"/>
              <w:rPr>
                <w:rFonts w:ascii="Calibri" w:hAnsi="Calibri"/>
                <w:b w:val="false"/>
                <w:bCs w:val="false"/>
                <w:i w:val="false"/>
                <w:i w:val="false"/>
                <w:iCs w:val="false"/>
                <w:color w:val="000000"/>
                <w:sz w:val="20"/>
                <w:szCs w:val="20"/>
                <w:highlight w:val="none"/>
                <w:u w:val="none"/>
                <w:shd w:fill="auto" w:val="clear"/>
              </w:rPr>
            </w:pPr>
            <w:r>
              <w:rPr>
                <w:rFonts w:eastAsia="Calibri" w:cs="" w:ascii="Calibri" w:hAnsi="Calibri"/>
                <w:b w:val="false"/>
                <w:bCs w:val="false"/>
                <w:i w:val="false"/>
                <w:iCs w:val="false"/>
                <w:color w:val="000000"/>
                <w:kern w:val="0"/>
                <w:sz w:val="20"/>
                <w:szCs w:val="20"/>
                <w:u w:val="none"/>
                <w:shd w:fill="auto" w:val="clear"/>
                <w:lang w:val="ru-RU" w:eastAsia="en-US" w:bidi="ar-SA"/>
              </w:rPr>
              <w:t>Лист стальной горячекатаный 4х1500х6000мм РСВ</w:t>
            </w:r>
          </w:p>
        </w:tc>
        <w:tc>
          <w:tcPr>
            <w:tcW w:w="181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hyperlink r:id="rId5" w:tgtFrame="_blank">
              <w:r>
                <w:rPr>
                  <w:rStyle w:val="Hyperlink"/>
                  <w:rFonts w:eastAsia="Calibri" w:cs="Calibri" w:ascii="Calibri" w:hAnsi="Calibri" w:cstheme="minorHAnsi"/>
                  <w:b w:val="false"/>
                  <w:bCs w:val="false"/>
                  <w:i w:val="false"/>
                  <w:iCs w:val="false"/>
                  <w:strike w:val="false"/>
                  <w:dstrike w:val="false"/>
                  <w:color w:val="000000"/>
                  <w:kern w:val="0"/>
                  <w:sz w:val="20"/>
                  <w:szCs w:val="20"/>
                  <w:u w:val="none"/>
                  <w:effect w:val="none"/>
                  <w:shd w:fill="auto" w:val="clear"/>
                  <w:lang w:val="ru-RU" w:eastAsia="en-US" w:bidi="ar-SA"/>
                </w:rPr>
                <w:t>ГОСТ Р 52927-2015</w:t>
              </w:r>
            </w:hyperlink>
            <w:r>
              <w:rPr>
                <w:rFonts w:eastAsia="Calibri" w:cs="Calibri" w:ascii="Calibri" w:hAnsi="Calibri" w:cstheme="minorHAnsi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kern w:val="0"/>
                <w:sz w:val="20"/>
                <w:szCs w:val="20"/>
                <w:u w:val="none"/>
                <w:effect w:val="none"/>
                <w:shd w:fill="auto" w:val="clear"/>
                <w:lang w:val="ru-RU" w:eastAsia="en-US" w:bidi="ar-SA"/>
              </w:rPr>
              <w:t xml:space="preserve"> или ГОСТ 5521-93. ГОСТ 52927-2023</w:t>
            </w:r>
          </w:p>
        </w:tc>
        <w:tc>
          <w:tcPr>
            <w:tcW w:w="259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Calibri" w:cs="Calibri" w:ascii="Calibri" w:hAnsi="Calibri" w:cstheme="minorHAnsi"/>
                <w:b w:val="false"/>
                <w:bCs w:val="false"/>
                <w:i w:val="false"/>
                <w:iCs w:val="false"/>
                <w:color w:val="000000"/>
                <w:kern w:val="0"/>
                <w:sz w:val="20"/>
                <w:szCs w:val="20"/>
                <w:u w:val="none"/>
                <w:shd w:fill="auto" w:val="clear"/>
                <w:lang w:val="ru-RU" w:eastAsia="en-US" w:bidi="ar-SA"/>
              </w:rPr>
              <w:t>Сталь РСВ (судовая);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Calibri" w:cs="Calibri" w:ascii="Calibri" w:hAnsi="Calibri"/>
                <w:b w:val="false"/>
                <w:bCs w:val="false"/>
                <w:i w:val="false"/>
                <w:iCs w:val="false"/>
                <w:color w:val="000000"/>
                <w:kern w:val="0"/>
                <w:sz w:val="20"/>
                <w:szCs w:val="20"/>
                <w:u w:val="none"/>
                <w:shd w:fill="auto" w:val="clear"/>
                <w:lang w:val="ru-RU" w:eastAsia="en-US" w:bidi="ar-SA"/>
              </w:rPr>
              <w:t>Кромка: обрезная;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Calibri" w:cs="Calibri" w:ascii="Calibri" w:hAnsi="Calibri"/>
                <w:b w:val="false"/>
                <w:bCs w:val="false"/>
                <w:i w:val="false"/>
                <w:iCs w:val="false"/>
                <w:color w:val="000000"/>
                <w:kern w:val="0"/>
                <w:sz w:val="20"/>
                <w:szCs w:val="20"/>
                <w:u w:val="none"/>
                <w:shd w:fill="auto" w:val="clear"/>
                <w:lang w:val="ru-RU" w:eastAsia="en-US" w:bidi="ar-SA"/>
              </w:rPr>
              <w:t>Предел текучести: ≥235 Н/мм² (соответствует свойствам обычной углеродистой стали 3сп/пс по ГОСТ 380); Данный лист относится к стали нормальной прочности В. Прокатка листов с приставкой РС осуществляется под контролем Регистра (Морского или Речного)</w:t>
            </w:r>
          </w:p>
        </w:tc>
        <w:tc>
          <w:tcPr>
            <w:tcW w:w="14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cs="Calibri" w:cstheme="minorHAnsi"/>
                <w:sz w:val="20"/>
                <w:szCs w:val="20"/>
              </w:rPr>
            </w:pPr>
            <w:r>
              <w:rPr>
                <w:rFonts w:eastAsia="Calibri" w:cs="Calibri" w:ascii="Calibri" w:hAnsi="Calibri" w:cstheme="minorHAnsi"/>
                <w:i/>
                <w:iCs/>
                <w:kern w:val="0"/>
                <w:sz w:val="20"/>
                <w:szCs w:val="20"/>
                <w:lang w:val="ru-RU" w:eastAsia="en-US" w:bidi="ar-SA"/>
              </w:rPr>
              <w:t>677004, РФ, РС (Я), г. Якутск, ул. Беринга, 42 Производственная база АО «Сахаэнерго».</w:t>
            </w:r>
          </w:p>
        </w:tc>
        <w:tc>
          <w:tcPr>
            <w:tcW w:w="139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cs="Calibri" w:cstheme="minorHAnsi"/>
                <w:sz w:val="20"/>
                <w:szCs w:val="20"/>
              </w:rPr>
            </w:pPr>
            <w:r>
              <w:rPr>
                <w:rFonts w:eastAsia="Calibri" w:cs="Calibri" w:ascii="Calibri" w:hAnsi="Calibri" w:cstheme="minorHAnsi"/>
                <w:i/>
                <w:iCs/>
                <w:color w:val="808080" w:themeColor="background1" w:themeShade="80"/>
                <w:kern w:val="0"/>
                <w:sz w:val="20"/>
                <w:szCs w:val="20"/>
                <w:lang w:val="ru-RU" w:eastAsia="en-US" w:bidi="ar-SA"/>
              </w:rPr>
              <w:t>Способ подтверждения: указание наименования продукции</w:t>
            </w:r>
          </w:p>
        </w:tc>
        <w:tc>
          <w:tcPr>
            <w:tcW w:w="94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cs="Calibri" w:cstheme="minorHAnsi"/>
                <w:sz w:val="20"/>
                <w:szCs w:val="20"/>
              </w:rPr>
            </w:pPr>
            <w:r>
              <w:rPr>
                <w:rFonts w:eastAsia="Calibri" w:cs="Calibri" w:ascii="Calibri" w:hAnsi="Calibri" w:cstheme="minorHAnsi"/>
                <w:i/>
                <w:iCs/>
                <w:color w:val="808080" w:themeColor="background1" w:themeShade="80"/>
                <w:kern w:val="0"/>
                <w:sz w:val="20"/>
                <w:szCs w:val="20"/>
                <w:lang w:val="ru-RU" w:eastAsia="en-US" w:bidi="ar-SA"/>
              </w:rPr>
              <w:t>Способ подтверждения: указание ГОСТа</w:t>
            </w:r>
          </w:p>
        </w:tc>
        <w:tc>
          <w:tcPr>
            <w:tcW w:w="1531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57" w:hanging="0"/>
              <w:contextualSpacing/>
              <w:jc w:val="left"/>
              <w:rPr>
                <w:rFonts w:cs="Calibri" w:cstheme="minorHAnsi"/>
                <w:sz w:val="20"/>
                <w:szCs w:val="20"/>
              </w:rPr>
            </w:pPr>
            <w:r>
              <w:rPr>
                <w:rFonts w:eastAsia="Calibri" w:cs="Calibri" w:ascii="Calibri" w:hAnsi="Calibri" w:cstheme="minorHAnsi" w:eastAsiaTheme="minorHAnsi"/>
                <w:i/>
                <w:iCs/>
                <w:color w:val="808080" w:themeColor="background1" w:themeShade="80"/>
                <w:kern w:val="0"/>
                <w:sz w:val="20"/>
                <w:szCs w:val="20"/>
                <w:lang w:val="ru-RU" w:eastAsia="en-US" w:bidi="ar-SA"/>
              </w:rPr>
              <w:t>Способ подтверждения: указание функциональных и технических характеристик</w:t>
            </w:r>
          </w:p>
        </w:tc>
        <w:tc>
          <w:tcPr>
            <w:tcW w:w="147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cs="Calibri" w:cstheme="minorHAnsi"/>
                <w:sz w:val="20"/>
                <w:szCs w:val="20"/>
              </w:rPr>
            </w:pPr>
            <w:r>
              <w:rPr>
                <w:rFonts w:eastAsia="Calibri" w:cs="Calibri" w:ascii="Calibri" w:hAnsi="Calibri" w:cstheme="minorHAnsi"/>
                <w:i/>
                <w:iCs/>
                <w:color w:val="808080" w:themeColor="background1" w:themeShade="80"/>
                <w:kern w:val="0"/>
                <w:sz w:val="20"/>
                <w:szCs w:val="20"/>
                <w:lang w:val="ru-RU" w:eastAsia="en-US" w:bidi="ar-SA"/>
              </w:rPr>
              <w:t>Способ подтверждения: согласие</w:t>
            </w:r>
          </w:p>
        </w:tc>
      </w:tr>
      <w:tr>
        <w:trPr/>
        <w:tc>
          <w:tcPr>
            <w:tcW w:w="497" w:type="dxa"/>
            <w:tcBorders/>
          </w:tcPr>
          <w:p>
            <w:pPr>
              <w:pStyle w:val="ListParagraph"/>
              <w:widowControl w:val="false"/>
              <w:numPr>
                <w:ilvl w:val="0"/>
                <w:numId w:val="11"/>
              </w:numPr>
              <w:suppressAutoHyphens w:val="true"/>
              <w:spacing w:before="0" w:after="0"/>
              <w:contextualSpacing/>
              <w:jc w:val="left"/>
              <w:rPr>
                <w:rFonts w:eastAsia="Calibri" w:cs="Calibri" w:cstheme="minorHAnsi" w:eastAsiaTheme="minorHAnsi"/>
                <w:sz w:val="20"/>
                <w:szCs w:val="20"/>
              </w:rPr>
            </w:pPr>
            <w:r>
              <w:rPr>
                <w:rFonts w:eastAsia="Calibri" w:cs="Calibri" w:cstheme="minorHAnsi" w:eastAsiaTheme="minorHAnsi"/>
                <w:sz w:val="20"/>
                <w:szCs w:val="20"/>
              </w:rPr>
            </w:r>
          </w:p>
        </w:tc>
        <w:tc>
          <w:tcPr>
            <w:tcW w:w="1248" w:type="dxa"/>
            <w:tcBorders/>
          </w:tcPr>
          <w:p>
            <w:pPr>
              <w:pStyle w:val="Style35"/>
              <w:widowControl w:val="false"/>
              <w:suppressAutoHyphens w:val="true"/>
              <w:spacing w:before="0" w:after="0"/>
              <w:jc w:val="left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eastAsia="Calibri" w:cs="Calibri" w:ascii="Calibri" w:hAnsi="Calibri" w:cstheme="minorHAnsi"/>
                <w:color w:val="000000"/>
                <w:kern w:val="0"/>
                <w:sz w:val="20"/>
                <w:szCs w:val="20"/>
                <w:lang w:val="ru-RU" w:eastAsia="en-US" w:bidi="ar-SA"/>
              </w:rPr>
              <w:t>Позиция 2</w:t>
            </w:r>
          </w:p>
        </w:tc>
        <w:tc>
          <w:tcPr>
            <w:tcW w:w="2330" w:type="dxa"/>
            <w:tcBorders>
              <w:right w:val="nil"/>
            </w:tcBorders>
          </w:tcPr>
          <w:p>
            <w:pPr>
              <w:pStyle w:val="Style35"/>
              <w:widowControl w:val="false"/>
              <w:suppressAutoHyphens w:val="true"/>
              <w:spacing w:before="0" w:after="0"/>
              <w:jc w:val="left"/>
              <w:rPr>
                <w:rFonts w:ascii="Calibri" w:hAnsi="Calibri"/>
                <w:b w:val="false"/>
                <w:bCs w:val="false"/>
                <w:i w:val="false"/>
                <w:i w:val="false"/>
                <w:iCs w:val="false"/>
                <w:color w:val="000000"/>
                <w:sz w:val="20"/>
                <w:szCs w:val="20"/>
                <w:highlight w:val="none"/>
                <w:u w:val="none"/>
                <w:shd w:fill="auto" w:val="clear"/>
              </w:rPr>
            </w:pPr>
            <w:r>
              <w:rPr>
                <w:rFonts w:eastAsia="Calibri" w:cs="" w:ascii="Calibri" w:hAnsi="Calibri"/>
                <w:b w:val="false"/>
                <w:bCs w:val="false"/>
                <w:i w:val="false"/>
                <w:iCs w:val="false"/>
                <w:color w:val="000000"/>
                <w:kern w:val="0"/>
                <w:sz w:val="20"/>
                <w:szCs w:val="20"/>
                <w:u w:val="none"/>
                <w:shd w:fill="auto" w:val="clear"/>
                <w:lang w:val="ru-RU" w:eastAsia="en-US" w:bidi="ar-SA"/>
              </w:rPr>
              <w:t>Лист стальной горячекатаный 5х1500х6000мм РСВ</w:t>
            </w:r>
          </w:p>
        </w:tc>
        <w:tc>
          <w:tcPr>
            <w:tcW w:w="181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Style w:val="Strong2"/>
                <w:rFonts w:eastAsia="Calibri" w:cs="Calibri" w:ascii="Calibri" w:hAnsi="Calibri" w:cstheme="minorHAnsi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kern w:val="0"/>
                <w:sz w:val="20"/>
                <w:szCs w:val="20"/>
                <w:u w:val="none"/>
                <w:effect w:val="none"/>
                <w:shd w:fill="auto" w:val="clear"/>
                <w:lang w:val="ru-RU" w:eastAsia="en-US" w:bidi="ar-SA"/>
              </w:rPr>
              <w:t xml:space="preserve">ГОСТ 14637-89, ГОСТ 19903-2015, </w:t>
            </w:r>
            <w:r>
              <w:rPr>
                <w:rStyle w:val="Strong2"/>
                <w:rFonts w:eastAsia="Calibri" w:cs="Calibri" w:ascii="Calibri" w:hAnsi="Calibri" w:cstheme="minorHAnsi"/>
                <w:b w:val="false"/>
                <w:bCs w:val="false"/>
                <w:i w:val="false"/>
                <w:iCs w:val="false"/>
                <w:caps w:val="false"/>
                <w:smallCaps w:val="false"/>
                <w:strike w:val="false"/>
                <w:dstrike w:val="false"/>
                <w:color w:val="000000"/>
                <w:spacing w:val="0"/>
                <w:kern w:val="0"/>
                <w:sz w:val="20"/>
                <w:szCs w:val="20"/>
                <w:u w:val="none"/>
                <w:effect w:val="none"/>
                <w:shd w:fill="auto" w:val="clear"/>
                <w:lang w:val="ru-RU" w:eastAsia="en-US" w:bidi="ar-SA"/>
              </w:rPr>
              <w:t>ГОСТ Р 52927-2023</w:t>
            </w:r>
          </w:p>
        </w:tc>
        <w:tc>
          <w:tcPr>
            <w:tcW w:w="259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Calibri" w:cs="Calibri" w:ascii="Calibri" w:hAnsi="Calibri" w:cstheme="minorHAnsi"/>
                <w:b w:val="false"/>
                <w:bCs w:val="false"/>
                <w:i w:val="false"/>
                <w:iCs w:val="false"/>
                <w:color w:val="000000"/>
                <w:kern w:val="0"/>
                <w:sz w:val="20"/>
                <w:szCs w:val="20"/>
                <w:u w:val="none"/>
                <w:shd w:fill="auto" w:val="clear"/>
                <w:lang w:val="ru-RU" w:eastAsia="en-US" w:bidi="ar-SA"/>
              </w:rPr>
              <w:t>Сталь РСВ (судовая);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Calibri" w:cs="Calibri" w:ascii="Calibri" w:hAnsi="Calibri"/>
                <w:b w:val="false"/>
                <w:bCs w:val="false"/>
                <w:i w:val="false"/>
                <w:iCs w:val="false"/>
                <w:color w:val="000000"/>
                <w:kern w:val="0"/>
                <w:sz w:val="20"/>
                <w:szCs w:val="20"/>
                <w:u w:val="none"/>
                <w:shd w:fill="auto" w:val="clear"/>
                <w:lang w:val="ru-RU" w:eastAsia="en-US" w:bidi="ar-SA"/>
              </w:rPr>
              <w:t>Кромка: обрезная;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Calibri" w:cs="Calibri" w:ascii="Calibri" w:hAnsi="Calibri"/>
                <w:b w:val="false"/>
                <w:bCs w:val="false"/>
                <w:i w:val="false"/>
                <w:iCs w:val="false"/>
                <w:color w:val="000000"/>
                <w:kern w:val="0"/>
                <w:sz w:val="20"/>
                <w:szCs w:val="20"/>
                <w:u w:val="none"/>
                <w:shd w:fill="auto" w:val="clear"/>
                <w:lang w:val="ru-RU" w:eastAsia="en-US" w:bidi="ar-SA"/>
              </w:rPr>
              <w:t>Предел текучести: ≥235 Н/мм² (соответствует свойствам обычной углеродистой стали 3сп/пс по ГОСТ 380); Данный лист относится к стали нормальной прочности В. Прокатка листов с приставкой РС осуществляется под контролем Регистра (Морского или Речного)</w:t>
            </w:r>
          </w:p>
        </w:tc>
        <w:tc>
          <w:tcPr>
            <w:tcW w:w="148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/>
              </w:rPr>
            </w:pPr>
            <w:r>
              <w:rPr>
                <w:rFonts w:eastAsia="Calibri" w:cs="Calibri" w:ascii="Calibri" w:hAnsi="Calibri" w:cstheme="minorHAnsi"/>
                <w:i/>
                <w:iCs/>
                <w:kern w:val="0"/>
                <w:sz w:val="20"/>
                <w:szCs w:val="20"/>
                <w:lang w:val="ru-RU" w:eastAsia="en-US" w:bidi="ar-SA"/>
              </w:rPr>
              <w:t>677004, РФ, РС (Я), г. Якутск, ул. Беринга, 42 Производственная база АО «Сахаэнерго».</w:t>
            </w:r>
          </w:p>
        </w:tc>
        <w:tc>
          <w:tcPr>
            <w:tcW w:w="139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cs="Calibri" w:cstheme="minorHAnsi"/>
                <w:sz w:val="20"/>
                <w:szCs w:val="20"/>
              </w:rPr>
            </w:pPr>
            <w:r>
              <w:rPr>
                <w:rFonts w:eastAsia="Calibri" w:cs="Calibri" w:ascii="Calibri" w:hAnsi="Calibri" w:cstheme="minorHAnsi"/>
                <w:i/>
                <w:iCs/>
                <w:color w:val="808080" w:themeColor="background1" w:themeShade="80"/>
                <w:kern w:val="0"/>
                <w:sz w:val="20"/>
                <w:szCs w:val="20"/>
                <w:lang w:val="ru-RU" w:eastAsia="en-US" w:bidi="ar-SA"/>
              </w:rPr>
              <w:t>Способ подтверждения: указание наименования продукции</w:t>
            </w:r>
          </w:p>
        </w:tc>
        <w:tc>
          <w:tcPr>
            <w:tcW w:w="946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cs="Calibri" w:cstheme="minorHAnsi"/>
                <w:sz w:val="20"/>
                <w:szCs w:val="20"/>
              </w:rPr>
            </w:pPr>
            <w:r>
              <w:rPr>
                <w:rFonts w:eastAsia="Calibri" w:cs="Calibri" w:ascii="Calibri" w:hAnsi="Calibri" w:cstheme="minorHAnsi"/>
                <w:i/>
                <w:iCs/>
                <w:color w:val="808080" w:themeColor="background1" w:themeShade="80"/>
                <w:kern w:val="0"/>
                <w:sz w:val="20"/>
                <w:szCs w:val="20"/>
                <w:lang w:val="ru-RU" w:eastAsia="en-US" w:bidi="ar-SA"/>
              </w:rPr>
              <w:t>Способ подтверждения: указание ГОСТа</w:t>
            </w:r>
          </w:p>
        </w:tc>
        <w:tc>
          <w:tcPr>
            <w:tcW w:w="1531" w:type="dxa"/>
            <w:tcBorders/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57" w:hanging="0"/>
              <w:contextualSpacing/>
              <w:jc w:val="left"/>
              <w:rPr>
                <w:rFonts w:cs="Calibri" w:cstheme="minorHAnsi"/>
                <w:sz w:val="20"/>
                <w:szCs w:val="20"/>
              </w:rPr>
            </w:pPr>
            <w:r>
              <w:rPr>
                <w:rFonts w:eastAsia="Calibri" w:cs="Calibri" w:ascii="Calibri" w:hAnsi="Calibri" w:cstheme="minorHAnsi" w:eastAsiaTheme="minorHAnsi"/>
                <w:i/>
                <w:iCs/>
                <w:color w:val="808080" w:themeColor="background1" w:themeShade="80"/>
                <w:kern w:val="0"/>
                <w:sz w:val="20"/>
                <w:szCs w:val="20"/>
                <w:lang w:val="ru-RU" w:eastAsia="en-US" w:bidi="ar-SA"/>
              </w:rPr>
              <w:t>Способ подтверждения: указание функциональных и технических характеристик</w:t>
            </w:r>
          </w:p>
        </w:tc>
        <w:tc>
          <w:tcPr>
            <w:tcW w:w="147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cs="Calibri" w:cstheme="minorHAnsi"/>
                <w:sz w:val="20"/>
                <w:szCs w:val="20"/>
              </w:rPr>
            </w:pPr>
            <w:r>
              <w:rPr>
                <w:rFonts w:eastAsia="Calibri" w:cs="Calibri" w:ascii="Calibri" w:hAnsi="Calibri" w:cstheme="minorHAnsi"/>
                <w:i/>
                <w:iCs/>
                <w:color w:val="808080" w:themeColor="background1" w:themeShade="80"/>
                <w:kern w:val="0"/>
                <w:sz w:val="20"/>
                <w:szCs w:val="20"/>
                <w:lang w:val="ru-RU" w:eastAsia="en-US" w:bidi="ar-SA"/>
              </w:rPr>
              <w:t>Способ подтверждения: согласие</w:t>
            </w:r>
          </w:p>
        </w:tc>
      </w:tr>
      <w:tr>
        <w:trPr/>
        <w:tc>
          <w:tcPr>
            <w:tcW w:w="497" w:type="dxa"/>
            <w:tcBorders>
              <w:top w:val="nil"/>
            </w:tcBorders>
          </w:tcPr>
          <w:p>
            <w:pPr>
              <w:pStyle w:val="ListParagraph"/>
              <w:widowControl w:val="false"/>
              <w:numPr>
                <w:ilvl w:val="0"/>
                <w:numId w:val="11"/>
              </w:numPr>
              <w:suppressAutoHyphens w:val="true"/>
              <w:spacing w:before="0" w:after="0"/>
              <w:contextualSpacing/>
              <w:jc w:val="left"/>
              <w:rPr>
                <w:rFonts w:eastAsia="Calibri" w:cs="Calibri" w:cstheme="minorHAnsi" w:eastAsiaTheme="minorHAnsi"/>
                <w:sz w:val="20"/>
                <w:szCs w:val="20"/>
              </w:rPr>
            </w:pPr>
            <w:r>
              <w:rPr>
                <w:rFonts w:eastAsia="Calibri" w:cs="Calibri" w:cstheme="minorHAnsi" w:eastAsiaTheme="minorHAnsi"/>
                <w:sz w:val="20"/>
                <w:szCs w:val="20"/>
              </w:rPr>
            </w:r>
          </w:p>
        </w:tc>
        <w:tc>
          <w:tcPr>
            <w:tcW w:w="1248" w:type="dxa"/>
            <w:tcBorders>
              <w:top w:val="nil"/>
            </w:tcBorders>
          </w:tcPr>
          <w:p>
            <w:pPr>
              <w:pStyle w:val="Style35"/>
              <w:widowControl w:val="false"/>
              <w:suppressAutoHyphens w:val="true"/>
              <w:spacing w:before="0" w:after="0"/>
              <w:jc w:val="left"/>
              <w:rPr>
                <w:rFonts w:cs="Calibri" w:cstheme="minorHAnsi"/>
                <w:color w:val="000000"/>
                <w:sz w:val="20"/>
                <w:szCs w:val="20"/>
              </w:rPr>
            </w:pPr>
            <w:r>
              <w:rPr>
                <w:rFonts w:eastAsia="Calibri" w:cs="Calibri" w:ascii="Calibri" w:hAnsi="Calibri" w:cstheme="minorHAnsi"/>
                <w:color w:val="000000"/>
                <w:kern w:val="0"/>
                <w:sz w:val="20"/>
                <w:szCs w:val="20"/>
                <w:lang w:val="ru-RU" w:eastAsia="en-US" w:bidi="ar-SA"/>
              </w:rPr>
              <w:t>Позиция 3</w:t>
            </w:r>
          </w:p>
        </w:tc>
        <w:tc>
          <w:tcPr>
            <w:tcW w:w="2330" w:type="dxa"/>
            <w:tcBorders>
              <w:top w:val="nil"/>
              <w:right w:val="nil"/>
            </w:tcBorders>
          </w:tcPr>
          <w:p>
            <w:pPr>
              <w:pStyle w:val="Style35"/>
              <w:widowControl w:val="false"/>
              <w:suppressAutoHyphens w:val="true"/>
              <w:spacing w:before="0" w:after="0"/>
              <w:jc w:val="left"/>
              <w:rPr>
                <w:rFonts w:ascii="Calibri" w:hAnsi="Calibri"/>
                <w:b w:val="false"/>
                <w:bCs w:val="false"/>
                <w:i w:val="false"/>
                <w:i w:val="false"/>
                <w:iCs w:val="false"/>
                <w:color w:val="000000"/>
                <w:sz w:val="20"/>
                <w:szCs w:val="20"/>
                <w:highlight w:val="none"/>
                <w:u w:val="none"/>
                <w:shd w:fill="auto" w:val="clear"/>
              </w:rPr>
            </w:pPr>
            <w:r>
              <w:rPr>
                <w:rFonts w:eastAsia="Calibri" w:cs="" w:ascii="Calibri" w:hAnsi="Calibri"/>
                <w:b w:val="false"/>
                <w:bCs w:val="false"/>
                <w:i w:val="false"/>
                <w:iCs w:val="false"/>
                <w:color w:val="000000"/>
                <w:kern w:val="0"/>
                <w:sz w:val="20"/>
                <w:szCs w:val="20"/>
                <w:u w:val="none"/>
                <w:shd w:fill="auto" w:val="clear"/>
                <w:lang w:val="ru-RU" w:eastAsia="en-US" w:bidi="ar-SA"/>
              </w:rPr>
              <w:t>Лист стальной горячекатаный 6х1500х6000мм РСВ</w:t>
            </w:r>
          </w:p>
        </w:tc>
        <w:tc>
          <w:tcPr>
            <w:tcW w:w="1814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Style w:val="Strong2"/>
                <w:rFonts w:eastAsia="Calibri" w:cs="Calibri" w:ascii="Calibri" w:hAnsi="Calibri" w:cstheme="minorHAnsi"/>
                <w:b w:val="false"/>
                <w:bCs w:val="false"/>
                <w:i w:val="false"/>
                <w:iCs w:val="false"/>
                <w:strike w:val="false"/>
                <w:dstrike w:val="false"/>
                <w:color w:val="000000"/>
                <w:kern w:val="0"/>
                <w:sz w:val="20"/>
                <w:szCs w:val="20"/>
                <w:u w:val="none"/>
                <w:effect w:val="none"/>
                <w:shd w:fill="auto" w:val="clear"/>
                <w:lang w:val="ru-RU" w:eastAsia="en-US" w:bidi="ar-SA"/>
              </w:rPr>
              <w:t>ГОСТ 14637-89, ГОСТ 19903-2015, ГОСТ Р 52927-2023</w:t>
            </w:r>
          </w:p>
        </w:tc>
        <w:tc>
          <w:tcPr>
            <w:tcW w:w="259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Calibri" w:cs="Calibri" w:ascii="Calibri" w:hAnsi="Calibri" w:cstheme="minorHAnsi"/>
                <w:b w:val="false"/>
                <w:bCs w:val="false"/>
                <w:i w:val="false"/>
                <w:iCs w:val="false"/>
                <w:color w:val="000000"/>
                <w:kern w:val="0"/>
                <w:sz w:val="20"/>
                <w:szCs w:val="20"/>
                <w:u w:val="none"/>
                <w:shd w:fill="auto" w:val="clear"/>
                <w:lang w:val="ru-RU" w:eastAsia="en-US" w:bidi="ar-SA"/>
              </w:rPr>
              <w:t>Сталь РСВ (судовая);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Calibri" w:cs="Calibri" w:ascii="Calibri" w:hAnsi="Calibri"/>
                <w:b w:val="false"/>
                <w:bCs w:val="false"/>
                <w:i w:val="false"/>
                <w:iCs w:val="false"/>
                <w:color w:val="000000"/>
                <w:kern w:val="0"/>
                <w:sz w:val="20"/>
                <w:szCs w:val="20"/>
                <w:u w:val="none"/>
                <w:shd w:fill="auto" w:val="clear"/>
                <w:lang w:val="ru-RU" w:eastAsia="en-US" w:bidi="ar-SA"/>
              </w:rPr>
              <w:t>Кромка: обрезная;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/>
            </w:pPr>
            <w:r>
              <w:rPr>
                <w:rFonts w:eastAsia="Calibri" w:cs="Calibri" w:ascii="Calibri" w:hAnsi="Calibri"/>
                <w:b w:val="false"/>
                <w:bCs w:val="false"/>
                <w:i w:val="false"/>
                <w:iCs w:val="false"/>
                <w:color w:val="000000"/>
                <w:kern w:val="0"/>
                <w:sz w:val="20"/>
                <w:szCs w:val="20"/>
                <w:u w:val="none"/>
                <w:shd w:fill="auto" w:val="clear"/>
                <w:lang w:val="ru-RU" w:eastAsia="en-US" w:bidi="ar-SA"/>
              </w:rPr>
              <w:t>Предел текучести: ≥235 Н/мм² (соответствует свойствам обычной углеродистой стали 3сп/пс по ГОСТ 380); Данный лист относится к стали нормальной прочности В. Прокатка листов с приставкой РС осуществляется под контролем Регистра (Морского или Речного)</w:t>
            </w:r>
          </w:p>
        </w:tc>
        <w:tc>
          <w:tcPr>
            <w:tcW w:w="1485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ascii="Calibri" w:hAnsi="Calibri"/>
              </w:rPr>
            </w:pPr>
            <w:r>
              <w:rPr>
                <w:rFonts w:eastAsia="Calibri" w:cs="Calibri" w:ascii="Calibri" w:hAnsi="Calibri" w:cstheme="minorHAnsi"/>
                <w:i/>
                <w:iCs/>
                <w:kern w:val="0"/>
                <w:sz w:val="20"/>
                <w:szCs w:val="20"/>
                <w:lang w:val="ru-RU" w:eastAsia="en-US" w:bidi="ar-SA"/>
              </w:rPr>
              <w:t>677004, РФ, РС (Я), г. Якутск, ул. Беринга, 42 Производственная база АО «Сахаэнерго».</w:t>
            </w:r>
          </w:p>
        </w:tc>
        <w:tc>
          <w:tcPr>
            <w:tcW w:w="139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cs="Calibri" w:cstheme="minorHAnsi"/>
                <w:sz w:val="20"/>
                <w:szCs w:val="20"/>
              </w:rPr>
            </w:pPr>
            <w:r>
              <w:rPr>
                <w:rFonts w:eastAsia="Calibri" w:cs="Calibri" w:ascii="Calibri" w:hAnsi="Calibri" w:cstheme="minorHAnsi"/>
                <w:i/>
                <w:iCs/>
                <w:color w:val="808080" w:themeColor="background1" w:themeShade="80"/>
                <w:kern w:val="0"/>
                <w:sz w:val="20"/>
                <w:szCs w:val="20"/>
                <w:lang w:val="ru-RU" w:eastAsia="en-US" w:bidi="ar-SA"/>
              </w:rPr>
              <w:t>Способ подтверждения: указание наименования продукции</w:t>
            </w:r>
          </w:p>
        </w:tc>
        <w:tc>
          <w:tcPr>
            <w:tcW w:w="946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cs="Calibri" w:cstheme="minorHAnsi"/>
                <w:sz w:val="20"/>
                <w:szCs w:val="20"/>
              </w:rPr>
            </w:pPr>
            <w:r>
              <w:rPr>
                <w:rFonts w:eastAsia="Calibri" w:cs="Calibri" w:ascii="Calibri" w:hAnsi="Calibri" w:cstheme="minorHAnsi"/>
                <w:i/>
                <w:iCs/>
                <w:color w:val="808080" w:themeColor="background1" w:themeShade="80"/>
                <w:kern w:val="0"/>
                <w:sz w:val="20"/>
                <w:szCs w:val="20"/>
                <w:lang w:val="ru-RU" w:eastAsia="en-US" w:bidi="ar-SA"/>
              </w:rPr>
              <w:t>Способ подтверждения: указание ГОСТа</w:t>
            </w:r>
          </w:p>
        </w:tc>
        <w:tc>
          <w:tcPr>
            <w:tcW w:w="1531" w:type="dxa"/>
            <w:tcBorders>
              <w:top w:val="nil"/>
            </w:tcBorders>
          </w:tcPr>
          <w:p>
            <w:pPr>
              <w:pStyle w:val="ListParagraph"/>
              <w:widowControl w:val="false"/>
              <w:suppressAutoHyphens w:val="true"/>
              <w:spacing w:before="0" w:after="0"/>
              <w:ind w:left="57" w:hanging="0"/>
              <w:contextualSpacing/>
              <w:jc w:val="left"/>
              <w:rPr>
                <w:rFonts w:cs="Calibri" w:cstheme="minorHAnsi"/>
                <w:sz w:val="20"/>
                <w:szCs w:val="20"/>
              </w:rPr>
            </w:pPr>
            <w:r>
              <w:rPr>
                <w:rFonts w:eastAsia="Calibri" w:cs="Calibri" w:ascii="Calibri" w:hAnsi="Calibri" w:cstheme="minorHAnsi" w:eastAsiaTheme="minorHAnsi"/>
                <w:i/>
                <w:iCs/>
                <w:color w:val="808080" w:themeColor="background1" w:themeShade="80"/>
                <w:kern w:val="0"/>
                <w:sz w:val="20"/>
                <w:szCs w:val="20"/>
                <w:lang w:val="ru-RU" w:eastAsia="en-US" w:bidi="ar-SA"/>
              </w:rPr>
              <w:t>Способ подтверждения: указание функциональных и технических характеристик</w:t>
            </w:r>
          </w:p>
        </w:tc>
        <w:tc>
          <w:tcPr>
            <w:tcW w:w="1470" w:type="dxa"/>
            <w:tcBorders>
              <w:top w:val="nil"/>
            </w:tcBorders>
          </w:tcPr>
          <w:p>
            <w:pPr>
              <w:pStyle w:val="Normal"/>
              <w:widowControl w:val="false"/>
              <w:suppressAutoHyphens w:val="true"/>
              <w:spacing w:before="0" w:after="0"/>
              <w:jc w:val="left"/>
              <w:rPr>
                <w:rFonts w:cs="Calibri" w:cstheme="minorHAnsi"/>
                <w:sz w:val="20"/>
                <w:szCs w:val="20"/>
              </w:rPr>
            </w:pPr>
            <w:r>
              <w:rPr>
                <w:rFonts w:eastAsia="Calibri" w:cs="Calibri" w:ascii="Calibri" w:hAnsi="Calibri" w:cstheme="minorHAnsi"/>
                <w:i/>
                <w:iCs/>
                <w:color w:val="808080" w:themeColor="background1" w:themeShade="80"/>
                <w:kern w:val="0"/>
                <w:sz w:val="20"/>
                <w:szCs w:val="20"/>
                <w:lang w:val="ru-RU" w:eastAsia="en-US" w:bidi="ar-SA"/>
              </w:rPr>
              <w:t>Способ подтверждения: согласие</w:t>
            </w:r>
          </w:p>
        </w:tc>
      </w:tr>
    </w:tbl>
    <w:p>
      <w:pPr>
        <w:pStyle w:val="Normal"/>
        <w:spacing w:before="120" w:after="40"/>
        <w:ind w:right="397" w:hanging="0"/>
        <w:jc w:val="both"/>
        <w:rPr>
          <w:i/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* Указанные в настоящем ТТ ссылки на ТУ, марку (тип) продукции носят описательный, а не обязательный характер.</w:t>
      </w:r>
    </w:p>
    <w:p>
      <w:pPr>
        <w:pStyle w:val="Normal"/>
        <w:spacing w:before="120" w:after="40"/>
        <w:ind w:right="397" w:hanging="0"/>
        <w:jc w:val="both"/>
        <w:rPr>
          <w:i/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** Способ подтверждения участником соответствия требованиям указан в таблице в отношении каждой позиции закупаемой продукции </w:t>
      </w:r>
    </w:p>
    <w:p>
      <w:pPr>
        <w:pStyle w:val="Normal"/>
        <w:spacing w:before="40" w:after="120"/>
        <w:ind w:right="-28" w:hanging="0"/>
        <w:jc w:val="both"/>
        <w:rPr>
          <w:i/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*** В случае если какой-либо из указанных в настоящих Технических требованиях ГОСТ или нормативный документ был отменен в связи с выпуском новой редакции стандарта, то Участнику необходимо применять ГОСТ или нормативный документ, принятый в его развитие</w:t>
      </w:r>
    </w:p>
    <w:p>
      <w:pPr>
        <w:pStyle w:val="Normal"/>
        <w:spacing w:before="120" w:after="60"/>
        <w:rPr>
          <w:b/>
          <w:i/>
          <w:i/>
          <w:iCs/>
          <w:sz w:val="22"/>
          <w:szCs w:val="22"/>
        </w:rPr>
      </w:pPr>
      <w:r>
        <w:rPr>
          <w:b/>
          <w:i/>
          <w:iCs/>
          <w:sz w:val="22"/>
          <w:szCs w:val="22"/>
        </w:rPr>
      </w:r>
    </w:p>
    <w:p>
      <w:pPr>
        <w:pStyle w:val="Normal"/>
        <w:spacing w:before="120" w:after="60"/>
        <w:rPr>
          <w:b/>
          <w:i/>
          <w:i/>
          <w:iCs/>
          <w:sz w:val="22"/>
          <w:szCs w:val="22"/>
        </w:rPr>
      </w:pPr>
      <w:r>
        <w:rPr>
          <w:b/>
          <w:i/>
          <w:iCs/>
          <w:sz w:val="22"/>
          <w:szCs w:val="22"/>
        </w:rPr>
      </w:r>
    </w:p>
    <w:p>
      <w:pPr>
        <w:pStyle w:val="Normal"/>
        <w:spacing w:before="120" w:after="60"/>
        <w:rPr>
          <w:b/>
          <w:i/>
          <w:i/>
          <w:iCs/>
          <w:sz w:val="22"/>
          <w:szCs w:val="22"/>
        </w:rPr>
      </w:pPr>
      <w:r>
        <w:rPr>
          <w:b/>
          <w:i/>
          <w:iCs/>
          <w:sz w:val="22"/>
          <w:szCs w:val="22"/>
        </w:rPr>
      </w:r>
    </w:p>
    <w:p>
      <w:pPr>
        <w:pStyle w:val="Heading1"/>
        <w:numPr>
          <w:ilvl w:val="0"/>
          <w:numId w:val="8"/>
        </w:numPr>
        <w:rPr>
          <w:lang w:val="ru-RU"/>
        </w:rPr>
      </w:pPr>
      <w:bookmarkStart w:id="32" w:name="__RefHeading___Toc32766_3835486953"/>
      <w:bookmarkEnd w:id="32"/>
      <w:r>
        <w:rPr/>
        <w:t>Требования к документации по ценообразованию на этапе закупки</w:t>
      </w:r>
    </w:p>
    <w:p>
      <w:pPr>
        <w:pStyle w:val="Heading1"/>
        <w:keepLines/>
        <w:numPr>
          <w:ilvl w:val="0"/>
          <w:numId w:val="0"/>
        </w:numPr>
        <w:ind w:left="357" w:hanging="0"/>
        <w:rPr>
          <w:iCs/>
        </w:rPr>
      </w:pPr>
      <w:r>
        <w:rPr>
          <w:iCs/>
        </w:rPr>
      </w:r>
    </w:p>
    <w:p>
      <w:pPr>
        <w:pStyle w:val="Normal"/>
        <w:numPr>
          <w:ilvl w:val="1"/>
          <w:numId w:val="8"/>
        </w:numPr>
        <w:spacing w:before="0" w:after="120"/>
        <w:jc w:val="both"/>
        <w:rPr>
          <w:bCs/>
          <w:i/>
          <w:i/>
          <w:iCs/>
          <w:sz w:val="24"/>
          <w:szCs w:val="24"/>
          <w:lang w:eastAsia="x-none"/>
        </w:rPr>
      </w:pPr>
      <w:r>
        <w:rPr>
          <w:bCs/>
          <w:i/>
          <w:iCs/>
          <w:sz w:val="24"/>
          <w:szCs w:val="24"/>
          <w:lang w:eastAsia="x-none"/>
        </w:rPr>
        <w:t xml:space="preserve">В обоснование стоимости своей заявки Участник предоставляет Коммерческое предложение по форме </w:t>
      </w:r>
      <w:bookmarkStart w:id="33" w:name="_Hlk88325985"/>
      <w:r>
        <w:rPr>
          <w:bCs/>
          <w:i/>
          <w:iCs/>
          <w:sz w:val="24"/>
          <w:szCs w:val="24"/>
          <w:lang w:eastAsia="x-none"/>
        </w:rPr>
        <w:t>(с учетом прилагаемой к ней инструкции по заполнению)</w:t>
      </w:r>
      <w:bookmarkEnd w:id="33"/>
      <w:r>
        <w:rPr>
          <w:bCs/>
          <w:i/>
          <w:iCs/>
          <w:sz w:val="24"/>
          <w:szCs w:val="24"/>
          <w:lang w:eastAsia="x-none"/>
        </w:rPr>
        <w:t>, приведенной в Документации о закупке.</w:t>
      </w:r>
    </w:p>
    <w:p>
      <w:pPr>
        <w:pStyle w:val="Normal"/>
        <w:numPr>
          <w:ilvl w:val="1"/>
          <w:numId w:val="8"/>
        </w:numPr>
        <w:spacing w:before="0" w:after="120"/>
        <w:jc w:val="both"/>
        <w:rPr>
          <w:bCs/>
          <w:i/>
          <w:i/>
          <w:iCs/>
          <w:sz w:val="24"/>
          <w:szCs w:val="24"/>
          <w:lang w:eastAsia="x-none"/>
        </w:rPr>
      </w:pPr>
      <w:bookmarkStart w:id="34" w:name="_Hlk88327292"/>
      <w:r>
        <w:rPr>
          <w:bCs/>
          <w:i/>
          <w:iCs/>
          <w:sz w:val="24"/>
          <w:szCs w:val="24"/>
          <w:lang w:eastAsia="x-none"/>
        </w:rPr>
        <w:t>Дополнительные документы по ценообразованию</w:t>
      </w:r>
      <w:bookmarkEnd w:id="34"/>
      <w:r>
        <w:rPr>
          <w:bCs/>
          <w:i/>
          <w:iCs/>
          <w:sz w:val="24"/>
          <w:szCs w:val="24"/>
          <w:lang w:eastAsia="x-none"/>
        </w:rPr>
        <w:t xml:space="preserve"> в состав заявки не включаются.</w:t>
      </w:r>
    </w:p>
    <w:sectPr>
      <w:headerReference w:type="default" r:id="rId6"/>
      <w:headerReference w:type="first" r:id="rId7"/>
      <w:type w:val="nextPage"/>
      <w:pgSz w:orient="landscape" w:w="16838" w:h="11906"/>
      <w:pgMar w:left="992" w:right="1134" w:gutter="0" w:header="680" w:top="1134" w:footer="0" w:bottom="851"/>
      <w:pgNumType w:fmt="decimal"/>
      <w:formProt w:val="false"/>
      <w:titlePg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Arial"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ahoma">
    <w:charset w:val="01"/>
    <w:family w:val="roman"/>
    <w:pitch w:val="variable"/>
  </w:font>
  <w:font w:name="Arial Unicode MS">
    <w:charset w:val="01"/>
    <w:family w:val="roman"/>
    <w:pitch w:val="variable"/>
  </w:font>
  <w:font w:name="Verdana">
    <w:charset w:val="01"/>
    <w:family w:val="roman"/>
    <w:pitch w:val="variable"/>
  </w:font>
  <w:font w:name="Garamond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 wp14:anchorId="6BC6F40A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 wp14:anchorId="6BC6F40A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3</w:t>
    </w:r>
    <w:r>
      <w:rPr/>
      <w:fldChar w:fldCharType="end"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9</w:t>
    </w:r>
    <w:r>
      <w:rPr/>
      <w:fldChar w:fldCharType="end"/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/>
    </w:lvl>
    <w:lvl w:ilvl="1">
      <w:start w:val="1"/>
      <w:numFmt w:val="decimal"/>
      <w:lvlText w:val="%1.%2."/>
      <w:lvlJc w:val="left"/>
      <w:pPr>
        <w:tabs>
          <w:tab w:val="num" w:pos="357"/>
        </w:tabs>
        <w:ind w:left="0" w:hanging="0"/>
      </w:pPr>
      <w:rPr/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0" w:hanging="0"/>
      </w:pPr>
      <w:rPr/>
    </w:lvl>
    <w:lvl w:ilvl="3">
      <w:start w:val="1"/>
      <w:numFmt w:val="decimal"/>
      <w:lvlText w:val="%1.%2.%3.%4."/>
      <w:lvlJc w:val="left"/>
      <w:pPr>
        <w:tabs>
          <w:tab w:val="num" w:pos="357"/>
        </w:tabs>
        <w:ind w:left="0" w:hanging="0"/>
      </w:pPr>
      <w:rPr/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0" w:hanging="0"/>
      </w:pPr>
      <w:rPr/>
    </w:lvl>
    <w:lvl w:ilvl="5">
      <w:start w:val="1"/>
      <w:numFmt w:val="decimal"/>
      <w:lvlText w:val="%1.%2.%3.%4.%5.%6."/>
      <w:lvlJc w:val="left"/>
      <w:pPr>
        <w:tabs>
          <w:tab w:val="num" w:pos="357"/>
        </w:tabs>
        <w:ind w:left="0" w:hanging="0"/>
      </w:pPr>
      <w:rPr/>
    </w:lvl>
    <w:lvl w:ilvl="6">
      <w:start w:val="1"/>
      <w:numFmt w:val="decimal"/>
      <w:lvlText w:val="%1.%2.%3.%4.%5.%6.%7."/>
      <w:lvlJc w:val="left"/>
      <w:pPr>
        <w:tabs>
          <w:tab w:val="num" w:pos="357"/>
        </w:tabs>
        <w:ind w:left="0" w:hanging="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357"/>
        </w:tabs>
        <w:ind w:left="0" w:hanging="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357"/>
        </w:tabs>
        <w:ind w:left="0" w:hanging="0"/>
      </w:pPr>
      <w:rPr/>
    </w:lvl>
  </w:abstractNum>
  <w:abstractNum w:abstractNumId="2">
    <w:lvl w:ilvl="0">
      <w:start w:val="4"/>
      <w:numFmt w:val="bullet"/>
      <w:lvlText w:val="-"/>
      <w:lvlJc w:val="left"/>
      <w:pPr>
        <w:tabs>
          <w:tab w:val="num" w:pos="0"/>
        </w:tabs>
        <w:ind w:left="-207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5038" w:hanging="360"/>
      </w:pPr>
      <w:rPr>
        <w:smallCaps w:val="false"/>
        <w:caps w:val="false"/>
        <w:dstrike w:val="false"/>
        <w:strike w:val="false"/>
        <w:vertAlign w:val="baseline"/>
        <w:position w:val="0"/>
        <w:sz w:val="28"/>
        <w:sz w:val="28"/>
        <w:spacing w:val="0"/>
        <w:i w:val="false"/>
        <w:u w:val="none"/>
        <w:b/>
        <w:kern w:val="0"/>
        <w:effect w:val="none"/>
        <w:szCs w:val="28"/>
        <w:iCs w:val="false"/>
        <w:bCs w:val="false"/>
        <w:em w:val="none"/>
        <w:vanish w:val="false"/>
        <w:rFonts w:ascii="Times New Roman" w:hAnsi="Times New Roman" w:cs="Times New Roman"/>
        <w:color w:val="00000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432" w:hanging="432"/>
      </w:pPr>
      <w:rPr>
        <w:sz w:val="24"/>
        <w:i w:val="false"/>
        <w:b/>
        <w:szCs w:val="24"/>
        <w:iCs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1134" w:hanging="1134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34" w:hanging="1134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134" w:hanging="1134"/>
      </w:pPr>
      <w:rPr/>
    </w:lvl>
    <w:lvl w:ilvl="3">
      <w:start w:val="1"/>
      <w:numFmt w:val="russianLower"/>
      <w:lvlText w:val="(%4)"/>
      <w:lvlJc w:val="left"/>
      <w:pPr>
        <w:tabs>
          <w:tab w:val="num" w:pos="0"/>
        </w:tabs>
        <w:ind w:left="1985" w:hanging="567"/>
      </w:pPr>
      <w:rPr/>
    </w:lvl>
    <w:lvl w:ilvl="4">
      <w:start w:val="1"/>
      <w:numFmt w:val="bullet"/>
      <w:lvlText w:val="–"/>
      <w:lvlJc w:val="left"/>
      <w:pPr>
        <w:tabs>
          <w:tab w:val="num" w:pos="0"/>
        </w:tabs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01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134" w:hanging="0"/>
      </w:pPr>
      <w:rPr/>
    </w:lvl>
  </w:abstractNum>
  <w:abstractNum w:abstractNumId="5">
    <w:lvl w:ilvl="0">
      <w:start w:val="1"/>
      <w:numFmt w:val="decimal"/>
      <w:lvlText w:val="1.%1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sz w:val="24"/>
        <w:b/>
        <w:szCs w:val="24"/>
        <w:bCs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sz w:val="24"/>
        <w:b w:val="false"/>
        <w:szCs w:val="24"/>
        <w:bCs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928" w:hanging="360"/>
      </w:pPr>
      <w:rPr>
        <w:b w:val="fals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8">
    <w:lvl w:ilvl="0">
      <w:start w:val="3"/>
      <w:numFmt w:val="decimal"/>
      <w:lvlText w:val="%1."/>
      <w:lvlJc w:val="left"/>
      <w:pPr>
        <w:tabs>
          <w:tab w:val="num" w:pos="0"/>
        </w:tabs>
        <w:ind w:left="1080" w:hanging="36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1140" w:hanging="4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720"/>
      </w:pPr>
      <w:rPr>
        <w:b w:val="false"/>
        <w:bCs w:val="fals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6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180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  <w:rPr/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1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</w:numbering>
</file>

<file path=word/settings.xml><?xml version="1.0" encoding="utf-8"?>
<w:settings xmlns:w="http://schemas.openxmlformats.org/wordprocessingml/2006/main">
  <w:zoom w:percent="95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uiPriority="99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uiPriority="99" w:semiHidden="1" w:unhideWhenUsed="1"/>
    <w:lsdException w:name="HTML Top of Form" w:semiHidden="1" w:unhideWhenUsed="1"/>
    <w:lsdException w:name="HTML Bottom of Form" w:semiHidden="1" w:unhideWhenUsed="1"/>
    <w:lsdException w:name="Normal (Web)" w:uiPriority="99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uiPriority="99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a2166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8"/>
      <w:szCs w:val="28"/>
      <w:lang w:val="ru-RU" w:eastAsia="ru-RU" w:bidi="ar-SA"/>
    </w:rPr>
  </w:style>
  <w:style w:type="paragraph" w:styleId="Heading1">
    <w:name w:val="Heading 1"/>
    <w:basedOn w:val="Heading3"/>
    <w:next w:val="Normal"/>
    <w:link w:val="1"/>
    <w:qFormat/>
    <w:rsid w:val="00353a27"/>
    <w:pPr>
      <w:numPr>
        <w:ilvl w:val="0"/>
      </w:numPr>
      <w:outlineLvl w:val="0"/>
    </w:pPr>
    <w:rPr>
      <w:sz w:val="28"/>
      <w:szCs w:val="28"/>
    </w:rPr>
  </w:style>
  <w:style w:type="paragraph" w:styleId="Heading2">
    <w:name w:val="Heading 2"/>
    <w:basedOn w:val="Heading4"/>
    <w:next w:val="Normal"/>
    <w:link w:val="2"/>
    <w:qFormat/>
    <w:rsid w:val="00ea61a8"/>
    <w:pPr>
      <w:outlineLvl w:val="1"/>
    </w:pPr>
    <w:rPr/>
  </w:style>
  <w:style w:type="paragraph" w:styleId="Heading3">
    <w:name w:val="Heading 3"/>
    <w:basedOn w:val="Normal"/>
    <w:next w:val="Normal"/>
    <w:link w:val="3"/>
    <w:autoRedefine/>
    <w:qFormat/>
    <w:rsid w:val="00035e96"/>
    <w:pPr>
      <w:keepNext w:val="true"/>
      <w:numPr>
        <w:ilvl w:val="2"/>
        <w:numId w:val="3"/>
      </w:numPr>
      <w:spacing w:before="120" w:after="60"/>
      <w:ind w:left="567" w:hanging="510"/>
      <w:jc w:val="center"/>
      <w:outlineLvl w:val="2"/>
    </w:pPr>
    <w:rPr>
      <w:rFonts w:eastAsia="Calibri"/>
      <w:b/>
      <w:sz w:val="24"/>
      <w:szCs w:val="24"/>
      <w:lang w:val="x-none" w:eastAsia="x-none"/>
    </w:rPr>
  </w:style>
  <w:style w:type="paragraph" w:styleId="Heading4">
    <w:name w:val="Heading 4"/>
    <w:basedOn w:val="Heading3"/>
    <w:next w:val="Normal"/>
    <w:link w:val="4"/>
    <w:qFormat/>
    <w:rsid w:val="006629c9"/>
    <w:pPr>
      <w:numPr>
        <w:ilvl w:val="0"/>
        <w:numId w:val="0"/>
      </w:numPr>
      <w:tabs>
        <w:tab w:val="clear" w:pos="708"/>
        <w:tab w:val="left" w:pos="0" w:leader="none"/>
      </w:tabs>
      <w:ind w:left="432" w:hanging="432"/>
      <w:outlineLvl w:val="3"/>
    </w:pPr>
    <w:rPr>
      <w:bCs/>
    </w:rPr>
  </w:style>
  <w:style w:type="paragraph" w:styleId="Heading5">
    <w:name w:val="Heading 5"/>
    <w:basedOn w:val="Normal"/>
    <w:next w:val="Normal"/>
    <w:link w:val="5"/>
    <w:uiPriority w:val="9"/>
    <w:qFormat/>
    <w:rsid w:val="0076353a"/>
    <w:pPr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6"/>
    <w:uiPriority w:val="9"/>
    <w:qFormat/>
    <w:rsid w:val="00d22f6d"/>
    <w:pPr>
      <w:keepNext w:val="true"/>
      <w:keepLines/>
      <w:spacing w:before="200" w:after="0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7"/>
    <w:uiPriority w:val="9"/>
    <w:qFormat/>
    <w:rsid w:val="00d22f6d"/>
    <w:pPr>
      <w:keepNext w:val="true"/>
      <w:keepLines/>
      <w:spacing w:before="200" w:after="0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8"/>
    <w:uiPriority w:val="9"/>
    <w:qFormat/>
    <w:rsid w:val="00d22f6d"/>
    <w:pPr>
      <w:keepNext w:val="true"/>
      <w:keepLines/>
      <w:spacing w:before="200" w:after="0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9"/>
    <w:uiPriority w:val="9"/>
    <w:qFormat/>
    <w:rsid w:val="0076353a"/>
    <w:pPr>
      <w:spacing w:before="240" w:after="60"/>
      <w:outlineLvl w:val="8"/>
    </w:pPr>
    <w:rPr>
      <w:rFonts w:ascii="Arial" w:hAnsi="Arial"/>
      <w:sz w:val="22"/>
      <w:szCs w:val="22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" w:customStyle="1">
    <w:name w:val="Символ сноски"/>
    <w:qFormat/>
    <w:rsid w:val="00d561d9"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Pagenumber">
    <w:name w:val="page number"/>
    <w:basedOn w:val="DefaultParagraphFont"/>
    <w:qFormat/>
    <w:rsid w:val="006c2f3f"/>
    <w:rPr/>
  </w:style>
  <w:style w:type="character" w:styleId="Hyperlink">
    <w:name w:val="Hyperlink"/>
    <w:uiPriority w:val="99"/>
    <w:rsid w:val="006c2f3f"/>
    <w:rPr>
      <w:color w:val="0000FF"/>
      <w:u w:val="single"/>
    </w:rPr>
  </w:style>
  <w:style w:type="character" w:styleId="Annotationreference">
    <w:name w:val="annotation reference"/>
    <w:uiPriority w:val="99"/>
    <w:semiHidden/>
    <w:qFormat/>
    <w:rsid w:val="00b714b0"/>
    <w:rPr>
      <w:sz w:val="16"/>
      <w:szCs w:val="16"/>
    </w:rPr>
  </w:style>
  <w:style w:type="character" w:styleId="Strong1">
    <w:name w:val="Strong1"/>
    <w:uiPriority w:val="22"/>
    <w:qFormat/>
    <w:rsid w:val="00165965"/>
    <w:rPr>
      <w:b/>
      <w:bCs/>
    </w:rPr>
  </w:style>
  <w:style w:type="character" w:styleId="6" w:customStyle="1">
    <w:name w:val="Заголовок 6 Знак"/>
    <w:uiPriority w:val="9"/>
    <w:qFormat/>
    <w:rsid w:val="00d22f6d"/>
    <w:rPr>
      <w:rFonts w:ascii="Cambria" w:hAnsi="Cambria"/>
      <w:i/>
      <w:iCs/>
      <w:color w:val="243F60"/>
      <w:lang w:val="x-none" w:eastAsia="x-none"/>
    </w:rPr>
  </w:style>
  <w:style w:type="character" w:styleId="7" w:customStyle="1">
    <w:name w:val="Заголовок 7 Знак"/>
    <w:uiPriority w:val="9"/>
    <w:qFormat/>
    <w:rsid w:val="00d22f6d"/>
    <w:rPr>
      <w:rFonts w:ascii="Cambria" w:hAnsi="Cambria"/>
      <w:i/>
      <w:iCs/>
      <w:color w:val="404040"/>
      <w:lang w:val="x-none" w:eastAsia="x-none"/>
    </w:rPr>
  </w:style>
  <w:style w:type="character" w:styleId="8" w:customStyle="1">
    <w:name w:val="Заголовок 8 Знак"/>
    <w:uiPriority w:val="9"/>
    <w:qFormat/>
    <w:rsid w:val="00d22f6d"/>
    <w:rPr>
      <w:rFonts w:ascii="Cambria" w:hAnsi="Cambria"/>
      <w:color w:val="4F81BD"/>
      <w:lang w:val="x-none" w:eastAsia="x-none"/>
    </w:rPr>
  </w:style>
  <w:style w:type="character" w:styleId="1" w:customStyle="1">
    <w:name w:val="Заголовок 1 Знак"/>
    <w:qFormat/>
    <w:rsid w:val="00353a27"/>
    <w:rPr>
      <w:rFonts w:eastAsia="Calibri"/>
      <w:b/>
      <w:sz w:val="28"/>
      <w:szCs w:val="28"/>
      <w:lang w:val="x-none" w:eastAsia="x-none"/>
    </w:rPr>
  </w:style>
  <w:style w:type="character" w:styleId="2" w:customStyle="1">
    <w:name w:val="Заголовок 2 Знак"/>
    <w:qFormat/>
    <w:rsid w:val="00ea61a8"/>
    <w:rPr>
      <w:rFonts w:eastAsia="Calibri"/>
      <w:b/>
      <w:bCs/>
      <w:sz w:val="24"/>
      <w:szCs w:val="24"/>
      <w:lang w:val="x-none" w:eastAsia="x-none"/>
    </w:rPr>
  </w:style>
  <w:style w:type="character" w:styleId="3" w:customStyle="1">
    <w:name w:val="Заголовок 3 Знак"/>
    <w:qFormat/>
    <w:rsid w:val="00035e96"/>
    <w:rPr>
      <w:rFonts w:eastAsia="Calibri"/>
      <w:b/>
      <w:sz w:val="24"/>
      <w:szCs w:val="24"/>
      <w:lang w:val="x-none" w:eastAsia="x-none"/>
    </w:rPr>
  </w:style>
  <w:style w:type="character" w:styleId="4" w:customStyle="1">
    <w:name w:val="Заголовок 4 Знак"/>
    <w:qFormat/>
    <w:rsid w:val="006629c9"/>
    <w:rPr>
      <w:rFonts w:eastAsia="Calibri"/>
      <w:b/>
      <w:bCs/>
      <w:sz w:val="24"/>
      <w:szCs w:val="24"/>
      <w:lang w:val="x-none" w:eastAsia="x-none"/>
    </w:rPr>
  </w:style>
  <w:style w:type="character" w:styleId="5" w:customStyle="1">
    <w:name w:val="Заголовок 5 Знак"/>
    <w:uiPriority w:val="9"/>
    <w:qFormat/>
    <w:rsid w:val="00d22f6d"/>
    <w:rPr>
      <w:b/>
      <w:bCs/>
      <w:i/>
      <w:iCs/>
      <w:sz w:val="26"/>
      <w:szCs w:val="26"/>
    </w:rPr>
  </w:style>
  <w:style w:type="character" w:styleId="9" w:customStyle="1">
    <w:name w:val="Заголовок 9 Знак"/>
    <w:uiPriority w:val="9"/>
    <w:qFormat/>
    <w:rsid w:val="00d22f6d"/>
    <w:rPr>
      <w:rFonts w:ascii="Arial" w:hAnsi="Arial" w:cs="Arial"/>
      <w:sz w:val="22"/>
      <w:szCs w:val="22"/>
    </w:rPr>
  </w:style>
  <w:style w:type="character" w:styleId="Style1" w:customStyle="1">
    <w:name w:val="Название Знак"/>
    <w:link w:val="16"/>
    <w:uiPriority w:val="10"/>
    <w:qFormat/>
    <w:rsid w:val="00d22f6d"/>
    <w:rPr>
      <w:sz w:val="28"/>
    </w:rPr>
  </w:style>
  <w:style w:type="character" w:styleId="Style2" w:customStyle="1">
    <w:name w:val="Подзаголовок Знак"/>
    <w:uiPriority w:val="11"/>
    <w:qFormat/>
    <w:rsid w:val="00d22f6d"/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character" w:styleId="Emphasis">
    <w:name w:val="Emphasis"/>
    <w:uiPriority w:val="20"/>
    <w:qFormat/>
    <w:rsid w:val="00d22f6d"/>
    <w:rPr>
      <w:i/>
      <w:iCs/>
    </w:rPr>
  </w:style>
  <w:style w:type="character" w:styleId="21" w:customStyle="1">
    <w:name w:val="Цитата 2 Знак"/>
    <w:link w:val="Quote"/>
    <w:uiPriority w:val="29"/>
    <w:qFormat/>
    <w:rsid w:val="00d22f6d"/>
    <w:rPr>
      <w:rFonts w:ascii="Calibri" w:hAnsi="Calibri" w:eastAsia="Calibri"/>
      <w:i/>
      <w:iCs/>
      <w:color w:val="000000"/>
      <w:lang w:val="x-none" w:eastAsia="x-none"/>
    </w:rPr>
  </w:style>
  <w:style w:type="character" w:styleId="Style3" w:customStyle="1">
    <w:name w:val="Выделенная цитата Знак"/>
    <w:link w:val="IntenseQuote"/>
    <w:uiPriority w:val="30"/>
    <w:qFormat/>
    <w:rsid w:val="00d22f6d"/>
    <w:rPr>
      <w:rFonts w:ascii="Calibri" w:hAnsi="Calibri" w:eastAsia="Calibri"/>
      <w:b/>
      <w:bCs/>
      <w:i/>
      <w:iCs/>
      <w:color w:val="4F81BD"/>
      <w:lang w:val="x-none" w:eastAsia="x-none"/>
    </w:rPr>
  </w:style>
  <w:style w:type="character" w:styleId="SubtleEmphasis">
    <w:name w:val="Subtle Emphasis"/>
    <w:uiPriority w:val="19"/>
    <w:qFormat/>
    <w:rsid w:val="00d22f6d"/>
    <w:rPr>
      <w:i/>
      <w:iCs/>
      <w:color w:val="808080"/>
    </w:rPr>
  </w:style>
  <w:style w:type="character" w:styleId="IntenseEmphasis">
    <w:name w:val="Intense Emphasis"/>
    <w:uiPriority w:val="21"/>
    <w:qFormat/>
    <w:rsid w:val="00d22f6d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d22f6d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d22f6d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d22f6d"/>
    <w:rPr>
      <w:b/>
      <w:bCs/>
      <w:smallCaps/>
      <w:spacing w:val="5"/>
    </w:rPr>
  </w:style>
  <w:style w:type="character" w:styleId="Style4" w:customStyle="1">
    <w:name w:val="Электронная подпись Знак"/>
    <w:link w:val="E-mailSignature"/>
    <w:uiPriority w:val="99"/>
    <w:qFormat/>
    <w:rsid w:val="00d22f6d"/>
    <w:rPr>
      <w:rFonts w:eastAsia="Calibri"/>
      <w:sz w:val="24"/>
      <w:szCs w:val="24"/>
    </w:rPr>
  </w:style>
  <w:style w:type="character" w:styleId="11" w:customStyle="1">
    <w:name w:val="Подпункт Знак1"/>
    <w:link w:val="Style22"/>
    <w:qFormat/>
    <w:locked/>
    <w:rsid w:val="00d22f6d"/>
    <w:rPr>
      <w:sz w:val="28"/>
    </w:rPr>
  </w:style>
  <w:style w:type="character" w:styleId="Style5" w:customStyle="1">
    <w:name w:val="Текст сноски Знак"/>
    <w:uiPriority w:val="99"/>
    <w:qFormat/>
    <w:rsid w:val="00d22f6d"/>
    <w:rPr/>
  </w:style>
  <w:style w:type="character" w:styleId="Style6" w:customStyle="1">
    <w:name w:val="Основной текст Знак"/>
    <w:qFormat/>
    <w:rsid w:val="004459a5"/>
    <w:rPr>
      <w:sz w:val="28"/>
      <w:szCs w:val="28"/>
    </w:rPr>
  </w:style>
  <w:style w:type="character" w:styleId="Blk" w:customStyle="1">
    <w:name w:val="blk"/>
    <w:qFormat/>
    <w:rsid w:val="00431ace"/>
    <w:rPr/>
  </w:style>
  <w:style w:type="character" w:styleId="Style7" w:customStyle="1">
    <w:name w:val="Абзац списка Знак"/>
    <w:link w:val="ListParagraph"/>
    <w:uiPriority w:val="34"/>
    <w:qFormat/>
    <w:locked/>
    <w:rsid w:val="00310eb4"/>
    <w:rPr>
      <w:rFonts w:eastAsia="Calibri"/>
      <w:sz w:val="24"/>
      <w:szCs w:val="24"/>
    </w:rPr>
  </w:style>
  <w:style w:type="character" w:styleId="Style8" w:customStyle="1">
    <w:name w:val="комментарий"/>
    <w:qFormat/>
    <w:rsid w:val="0025139e"/>
    <w:rPr>
      <w:b/>
      <w:i/>
      <w:shd w:fill="FFFF99" w:val="clear"/>
    </w:rPr>
  </w:style>
  <w:style w:type="character" w:styleId="Style9" w:customStyle="1">
    <w:name w:val="Подподпункт Знак"/>
    <w:link w:val="Style30"/>
    <w:qFormat/>
    <w:locked/>
    <w:rsid w:val="0025139e"/>
    <w:rPr>
      <w:sz w:val="26"/>
      <w:szCs w:val="26"/>
    </w:rPr>
  </w:style>
  <w:style w:type="character" w:styleId="31" w:customStyle="1">
    <w:name w:val="УРОВЕНЬ_Абзац_тип3 Знак"/>
    <w:link w:val="36"/>
    <w:qFormat/>
    <w:rsid w:val="00b56f46"/>
    <w:rPr>
      <w:rFonts w:eastAsia="Calibri"/>
      <w:sz w:val="26"/>
      <w:szCs w:val="28"/>
      <w:lang w:eastAsia="en-US"/>
    </w:rPr>
  </w:style>
  <w:style w:type="character" w:styleId="Style10" w:customStyle="1">
    <w:name w:val="Верхний колонтитул Знак"/>
    <w:uiPriority w:val="99"/>
    <w:qFormat/>
    <w:rsid w:val="002f31af"/>
    <w:rPr>
      <w:sz w:val="24"/>
      <w:szCs w:val="24"/>
    </w:rPr>
  </w:style>
  <w:style w:type="character" w:styleId="Style11" w:customStyle="1">
    <w:name w:val="Текст примечания Знак"/>
    <w:link w:val="Annotationtext"/>
    <w:semiHidden/>
    <w:qFormat/>
    <w:rsid w:val="00dc0f7d"/>
    <w:rPr/>
  </w:style>
  <w:style w:type="character" w:styleId="Style12" w:customStyle="1">
    <w:name w:val="Текст концевой сноски Знак"/>
    <w:basedOn w:val="DefaultParagraphFont"/>
    <w:qFormat/>
    <w:rsid w:val="003879d4"/>
    <w:rPr/>
  </w:style>
  <w:style w:type="character" w:styleId="Style13" w:customStyle="1">
    <w:name w:val="Символ концевой сноски"/>
    <w:qFormat/>
    <w:rsid w:val="003879d4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22" w:customStyle="1">
    <w:name w:val="Пункт2 Знак"/>
    <w:link w:val="24"/>
    <w:qFormat/>
    <w:rsid w:val="00de52bc"/>
    <w:rPr>
      <w:b/>
      <w:sz w:val="28"/>
    </w:rPr>
  </w:style>
  <w:style w:type="character" w:styleId="12" w:customStyle="1">
    <w:name w:val="УРОВЕНЬ_1. Знак"/>
    <w:link w:val="110"/>
    <w:qFormat/>
    <w:rsid w:val="004a17ae"/>
    <w:rPr>
      <w:rFonts w:eastAsia="Calibri"/>
      <w:caps/>
      <w:sz w:val="28"/>
      <w:szCs w:val="28"/>
      <w:lang w:eastAsia="en-US"/>
    </w:rPr>
  </w:style>
  <w:style w:type="character" w:styleId="13" w:customStyle="1">
    <w:name w:val="Неразрешенное упоминание1"/>
    <w:basedOn w:val="DefaultParagraphFont"/>
    <w:uiPriority w:val="99"/>
    <w:semiHidden/>
    <w:unhideWhenUsed/>
    <w:qFormat/>
    <w:rsid w:val="00c36f30"/>
    <w:rPr>
      <w:color w:val="605E5C"/>
      <w:shd w:fill="E1DFDD" w:val="clear"/>
    </w:rPr>
  </w:style>
  <w:style w:type="character" w:styleId="32" w:customStyle="1">
    <w:name w:val="Основной текст с отступом 3 Знак"/>
    <w:link w:val="BodyTextIndent3"/>
    <w:qFormat/>
    <w:rsid w:val="00c36f30"/>
    <w:rPr>
      <w:sz w:val="16"/>
      <w:szCs w:val="16"/>
    </w:rPr>
  </w:style>
  <w:style w:type="character" w:styleId="Style14" w:customStyle="1">
    <w:name w:val="Ссылка указателя"/>
    <w:qFormat/>
    <w:rPr/>
  </w:style>
  <w:style w:type="character" w:styleId="Style15" w:customStyle="1">
    <w:name w:val="Символ нумерации"/>
    <w:qFormat/>
    <w:rPr/>
  </w:style>
  <w:style w:type="character" w:styleId="Strong2">
    <w:name w:val="Strong2"/>
    <w:qFormat/>
    <w:rPr>
      <w:b/>
      <w:bCs/>
    </w:rPr>
  </w:style>
  <w:style w:type="character" w:styleId="Strong">
    <w:name w:val="Strong"/>
    <w:qFormat/>
    <w:rPr>
      <w:b/>
      <w:bCs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link w:val="Style6"/>
    <w:rsid w:val="0076353a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cs="Lohit Devanagari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</w:rPr>
  </w:style>
  <w:style w:type="paragraph" w:styleId="Caption1">
    <w:name w:val="caption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1">
    <w:name w:val="index heading1"/>
    <w:basedOn w:val="Title"/>
    <w:qFormat/>
    <w:pPr/>
    <w:rPr/>
  </w:style>
  <w:style w:type="paragraph" w:styleId="14" w:customStyle="1">
    <w:name w:val="Заголовок1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</w:rPr>
  </w:style>
  <w:style w:type="paragraph" w:styleId="Caption11" w:customStyle="1">
    <w:name w:val="caption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11" w:customStyle="1">
    <w:name w:val="index heading11"/>
    <w:basedOn w:val="14"/>
    <w:qFormat/>
    <w:pPr/>
    <w:rPr/>
  </w:style>
  <w:style w:type="paragraph" w:styleId="Caption111" w:customStyle="1">
    <w:name w:val="caption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Indexheading111" w:customStyle="1">
    <w:name w:val="index heading111"/>
    <w:basedOn w:val="14"/>
    <w:qFormat/>
    <w:pPr/>
    <w:rPr/>
  </w:style>
  <w:style w:type="paragraph" w:styleId="Style18" w:customStyle="1">
    <w:name w:val="Название раздела инструкции"/>
    <w:basedOn w:val="Normal"/>
    <w:autoRedefine/>
    <w:qFormat/>
    <w:rsid w:val="00275328"/>
    <w:pPr>
      <w:jc w:val="center"/>
    </w:pPr>
    <w:rPr>
      <w:b/>
    </w:rPr>
  </w:style>
  <w:style w:type="paragraph" w:styleId="Style19" w:customStyle="1">
    <w:name w:val="Раздел положения"/>
    <w:basedOn w:val="Normal"/>
    <w:autoRedefine/>
    <w:qFormat/>
    <w:rsid w:val="007475ee"/>
    <w:pPr>
      <w:numPr>
        <w:ilvl w:val="0"/>
        <w:numId w:val="1"/>
      </w:numPr>
      <w:spacing w:before="80" w:after="80"/>
      <w:jc w:val="center"/>
    </w:pPr>
    <w:rPr>
      <w:b/>
      <w:sz w:val="32"/>
      <w:szCs w:val="32"/>
    </w:rPr>
  </w:style>
  <w:style w:type="paragraph" w:styleId="Style20" w:customStyle="1">
    <w:name w:val="Подраздел раздела положения"/>
    <w:basedOn w:val="Normal"/>
    <w:autoRedefine/>
    <w:qFormat/>
    <w:rsid w:val="007475ee"/>
    <w:pPr>
      <w:numPr>
        <w:ilvl w:val="1"/>
        <w:numId w:val="1"/>
      </w:numPr>
      <w:spacing w:before="80" w:after="80"/>
      <w:jc w:val="both"/>
    </w:pPr>
    <w:rPr/>
  </w:style>
  <w:style w:type="paragraph" w:styleId="FootnoteText">
    <w:name w:val="Footnote Text"/>
    <w:basedOn w:val="Normal"/>
    <w:link w:val="Style5"/>
    <w:uiPriority w:val="99"/>
    <w:rsid w:val="00d561d9"/>
    <w:pPr/>
    <w:rPr>
      <w:sz w:val="20"/>
      <w:szCs w:val="20"/>
    </w:rPr>
  </w:style>
  <w:style w:type="paragraph" w:styleId="15" w:customStyle="1">
    <w:name w:val="Шапка 1"/>
    <w:basedOn w:val="Normal"/>
    <w:qFormat/>
    <w:rsid w:val="00d561d9"/>
    <w:pPr>
      <w:pBdr>
        <w:bottom w:val="thickThinSmallGap" w:sz="24" w:space="1" w:color="000000"/>
      </w:pBdr>
      <w:spacing w:before="0" w:after="240"/>
      <w:jc w:val="center"/>
    </w:pPr>
    <w:rPr>
      <w:sz w:val="22"/>
      <w:szCs w:val="22"/>
    </w:rPr>
  </w:style>
  <w:style w:type="paragraph" w:styleId="23" w:customStyle="1">
    <w:name w:val="Шапка 2"/>
    <w:basedOn w:val="Normal"/>
    <w:qFormat/>
    <w:rsid w:val="00d561d9"/>
    <w:pPr>
      <w:pBdr>
        <w:bottom w:val="thickThinSmallGap" w:sz="24" w:space="1" w:color="000000"/>
      </w:pBdr>
      <w:spacing w:before="0" w:after="120"/>
      <w:jc w:val="center"/>
    </w:pPr>
    <w:rPr>
      <w:b/>
      <w:sz w:val="22"/>
      <w:szCs w:val="22"/>
    </w:rPr>
  </w:style>
  <w:style w:type="paragraph" w:styleId="33" w:customStyle="1">
    <w:name w:val="Шапка 3"/>
    <w:basedOn w:val="Normal"/>
    <w:qFormat/>
    <w:rsid w:val="00d561d9"/>
    <w:pPr>
      <w:pBdr>
        <w:bottom w:val="thickThinSmallGap" w:sz="24" w:space="1" w:color="000000"/>
      </w:pBdr>
      <w:spacing w:before="240" w:after="360"/>
      <w:jc w:val="center"/>
    </w:pPr>
    <w:rPr>
      <w:b/>
      <w:sz w:val="24"/>
      <w:szCs w:val="24"/>
    </w:rPr>
  </w:style>
  <w:style w:type="paragraph" w:styleId="16" w:customStyle="1">
    <w:name w:val="Название1"/>
    <w:basedOn w:val="Normal"/>
    <w:link w:val="Style1"/>
    <w:uiPriority w:val="10"/>
    <w:qFormat/>
    <w:rsid w:val="00bd4014"/>
    <w:pPr>
      <w:jc w:val="center"/>
    </w:pPr>
    <w:rPr>
      <w:szCs w:val="20"/>
      <w:lang w:val="x-none" w:eastAsia="x-none"/>
    </w:rPr>
  </w:style>
  <w:style w:type="paragraph" w:styleId="Style21" w:customStyle="1">
    <w:name w:val="Колонтитул"/>
    <w:basedOn w:val="Normal"/>
    <w:qFormat/>
    <w:pPr/>
    <w:rPr/>
  </w:style>
  <w:style w:type="paragraph" w:styleId="Header">
    <w:name w:val="Header"/>
    <w:basedOn w:val="Normal"/>
    <w:link w:val="Style10"/>
    <w:rsid w:val="0076353a"/>
    <w:pPr>
      <w:tabs>
        <w:tab w:val="clear" w:pos="708"/>
        <w:tab w:val="center" w:pos="4677" w:leader="none"/>
        <w:tab w:val="right" w:pos="9355" w:leader="none"/>
      </w:tabs>
    </w:pPr>
    <w:rPr>
      <w:sz w:val="24"/>
      <w:szCs w:val="24"/>
    </w:rPr>
  </w:style>
  <w:style w:type="paragraph" w:styleId="BodyTextIndent">
    <w:name w:val="Body Text Indent"/>
    <w:basedOn w:val="Normal"/>
    <w:rsid w:val="0076353a"/>
    <w:pPr>
      <w:ind w:left="360" w:hanging="0"/>
    </w:pPr>
    <w:rPr>
      <w:sz w:val="24"/>
      <w:szCs w:val="24"/>
    </w:rPr>
  </w:style>
  <w:style w:type="paragraph" w:styleId="Footer">
    <w:name w:val="Footer"/>
    <w:basedOn w:val="Normal"/>
    <w:rsid w:val="0076353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BodyTextIndent2">
    <w:name w:val="Body Text Indent 2"/>
    <w:basedOn w:val="Normal"/>
    <w:qFormat/>
    <w:rsid w:val="0076353a"/>
    <w:pPr>
      <w:spacing w:lineRule="auto" w:line="480" w:before="0" w:after="120"/>
      <w:ind w:left="283" w:hanging="0"/>
    </w:pPr>
    <w:rPr/>
  </w:style>
  <w:style w:type="paragraph" w:styleId="BodyText3">
    <w:name w:val="Body Text 3"/>
    <w:basedOn w:val="Normal"/>
    <w:qFormat/>
    <w:rsid w:val="0076353a"/>
    <w:pPr>
      <w:spacing w:before="0" w:after="120"/>
    </w:pPr>
    <w:rPr>
      <w:sz w:val="16"/>
      <w:szCs w:val="16"/>
    </w:rPr>
  </w:style>
  <w:style w:type="paragraph" w:styleId="BodyTextIndent3">
    <w:name w:val="Body Text Indent 3"/>
    <w:basedOn w:val="Normal"/>
    <w:link w:val="32"/>
    <w:qFormat/>
    <w:rsid w:val="0076353a"/>
    <w:pPr>
      <w:spacing w:before="0" w:after="120"/>
      <w:ind w:left="283" w:hanging="0"/>
    </w:pPr>
    <w:rPr>
      <w:sz w:val="16"/>
      <w:szCs w:val="16"/>
    </w:rPr>
  </w:style>
  <w:style w:type="paragraph" w:styleId="BodyText2">
    <w:name w:val="Body Text 2"/>
    <w:basedOn w:val="Normal"/>
    <w:qFormat/>
    <w:rsid w:val="0076353a"/>
    <w:pPr>
      <w:spacing w:lineRule="auto" w:line="480" w:before="0" w:after="120"/>
    </w:pPr>
    <w:rPr/>
  </w:style>
  <w:style w:type="paragraph" w:styleId="BlockText">
    <w:name w:val="Block Text"/>
    <w:basedOn w:val="Normal"/>
    <w:qFormat/>
    <w:rsid w:val="0076353a"/>
    <w:pPr>
      <w:ind w:left="-567" w:right="-766" w:hanging="0"/>
      <w:jc w:val="center"/>
    </w:pPr>
    <w:rPr>
      <w:b/>
      <w:bCs/>
      <w:sz w:val="24"/>
      <w:szCs w:val="20"/>
    </w:rPr>
  </w:style>
  <w:style w:type="paragraph" w:styleId="Style22" w:customStyle="1">
    <w:name w:val="Подпункт"/>
    <w:basedOn w:val="Normal"/>
    <w:link w:val="11"/>
    <w:qFormat/>
    <w:rsid w:val="0076353a"/>
    <w:pPr>
      <w:tabs>
        <w:tab w:val="clear" w:pos="708"/>
        <w:tab w:val="left" w:pos="1134" w:leader="none"/>
      </w:tabs>
      <w:snapToGrid w:val="false"/>
      <w:spacing w:lineRule="auto" w:line="360"/>
      <w:ind w:left="1134" w:hanging="1134"/>
      <w:jc w:val="both"/>
    </w:pPr>
    <w:rPr>
      <w:szCs w:val="20"/>
      <w:lang w:val="x-none" w:eastAsia="x-none"/>
    </w:rPr>
  </w:style>
  <w:style w:type="paragraph" w:styleId="24" w:customStyle="1">
    <w:name w:val="Пункт2"/>
    <w:basedOn w:val="Normal"/>
    <w:link w:val="22"/>
    <w:qFormat/>
    <w:rsid w:val="0076353a"/>
    <w:pPr>
      <w:keepNext w:val="true"/>
      <w:tabs>
        <w:tab w:val="clear" w:pos="708"/>
        <w:tab w:val="left" w:pos="1134" w:leader="none"/>
      </w:tabs>
      <w:snapToGrid w:val="false"/>
      <w:spacing w:before="240" w:after="120"/>
      <w:ind w:left="1134" w:hanging="1134"/>
      <w:outlineLvl w:val="2"/>
    </w:pPr>
    <w:rPr>
      <w:b/>
      <w:szCs w:val="20"/>
    </w:rPr>
  </w:style>
  <w:style w:type="paragraph" w:styleId="TOC1">
    <w:name w:val="TOC 1"/>
    <w:basedOn w:val="Normal"/>
    <w:next w:val="Normal"/>
    <w:autoRedefine/>
    <w:uiPriority w:val="39"/>
    <w:rsid w:val="00421b6b"/>
    <w:pPr>
      <w:spacing w:before="120" w:after="0"/>
    </w:pPr>
    <w:rPr>
      <w:rFonts w:cs="Calibri Light (Заголовки)"/>
      <w:b/>
      <w:bCs/>
      <w:sz w:val="24"/>
      <w:szCs w:val="24"/>
    </w:rPr>
  </w:style>
  <w:style w:type="paragraph" w:styleId="TOC3">
    <w:name w:val="TOC 3"/>
    <w:basedOn w:val="Normal"/>
    <w:next w:val="Normal"/>
    <w:autoRedefine/>
    <w:uiPriority w:val="39"/>
    <w:rsid w:val="00c01756"/>
    <w:pPr>
      <w:ind w:left="280" w:hanging="0"/>
    </w:pPr>
    <w:rPr>
      <w:rFonts w:cs="Calibri" w:cstheme="minorHAnsi"/>
      <w:sz w:val="20"/>
      <w:szCs w:val="20"/>
    </w:rPr>
  </w:style>
  <w:style w:type="paragraph" w:styleId="Style23" w:customStyle="1">
    <w:name w:val="Раздел регламента"/>
    <w:basedOn w:val="Normal"/>
    <w:qFormat/>
    <w:rsid w:val="00e228fa"/>
    <w:pPr/>
    <w:rPr/>
  </w:style>
  <w:style w:type="paragraph" w:styleId="Style24" w:customStyle="1">
    <w:name w:val="Приложение к регламенту"/>
    <w:basedOn w:val="Normal"/>
    <w:qFormat/>
    <w:rsid w:val="00e228fa"/>
    <w:pPr>
      <w:jc w:val="right"/>
    </w:pPr>
    <w:rPr/>
  </w:style>
  <w:style w:type="paragraph" w:styleId="TOC2">
    <w:name w:val="TOC 2"/>
    <w:basedOn w:val="Normal"/>
    <w:next w:val="Normal"/>
    <w:autoRedefine/>
    <w:uiPriority w:val="39"/>
    <w:rsid w:val="00c01756"/>
    <w:pPr>
      <w:spacing w:before="240" w:after="0"/>
    </w:pPr>
    <w:rPr>
      <w:rFonts w:cs="Calibri" w:cstheme="minorHAnsi"/>
      <w:b/>
      <w:bCs/>
      <w:sz w:val="20"/>
      <w:szCs w:val="20"/>
    </w:rPr>
  </w:style>
  <w:style w:type="paragraph" w:styleId="BalloonText">
    <w:name w:val="Balloon Text"/>
    <w:basedOn w:val="Normal"/>
    <w:semiHidden/>
    <w:qFormat/>
    <w:rsid w:val="00197c91"/>
    <w:pPr/>
    <w:rPr>
      <w:rFonts w:ascii="Tahoma" w:hAnsi="Tahoma" w:cs="Tahoma"/>
      <w:sz w:val="16"/>
      <w:szCs w:val="16"/>
    </w:rPr>
  </w:style>
  <w:style w:type="paragraph" w:styleId="Annotationtext">
    <w:name w:val="annotation text"/>
    <w:basedOn w:val="Normal"/>
    <w:link w:val="Style11"/>
    <w:semiHidden/>
    <w:qFormat/>
    <w:rsid w:val="00b714b0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semiHidden/>
    <w:qFormat/>
    <w:rsid w:val="00b714b0"/>
    <w:pPr/>
    <w:rPr>
      <w:b/>
      <w:bCs/>
    </w:rPr>
  </w:style>
  <w:style w:type="paragraph" w:styleId="17" w:customStyle="1">
    <w:name w:val="Обычный (веб)1"/>
    <w:basedOn w:val="Normal"/>
    <w:uiPriority w:val="99"/>
    <w:qFormat/>
    <w:rsid w:val="002f559a"/>
    <w:pPr>
      <w:spacing w:beforeAutospacing="1" w:afterAutospacing="1"/>
    </w:pPr>
    <w:rPr>
      <w:rFonts w:ascii="Arial Unicode MS" w:hAnsi="Arial Unicode MS" w:eastAsia="Arial Unicode MS" w:cs="Arial Unicode MS"/>
      <w:sz w:val="24"/>
      <w:szCs w:val="24"/>
    </w:rPr>
  </w:style>
  <w:style w:type="paragraph" w:styleId="TOC9">
    <w:name w:val="TOC 9"/>
    <w:basedOn w:val="Normal"/>
    <w:next w:val="Normal"/>
    <w:autoRedefine/>
    <w:semiHidden/>
    <w:rsid w:val="00f57628"/>
    <w:pPr>
      <w:ind w:left="196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5">
    <w:name w:val="TOC 5"/>
    <w:basedOn w:val="Normal"/>
    <w:next w:val="Normal"/>
    <w:autoRedefine/>
    <w:semiHidden/>
    <w:rsid w:val="00f57628"/>
    <w:pPr>
      <w:ind w:left="84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c01756"/>
    <w:pPr>
      <w:ind w:left="560" w:hanging="0"/>
    </w:pPr>
    <w:rPr>
      <w:rFonts w:cs="Calibri" w:cstheme="minorHAnsi"/>
      <w:sz w:val="20"/>
      <w:szCs w:val="20"/>
    </w:rPr>
  </w:style>
  <w:style w:type="paragraph" w:styleId="25" w:customStyle="1">
    <w:name w:val="Раздел положения 2"/>
    <w:basedOn w:val="Normal"/>
    <w:qFormat/>
    <w:rsid w:val="002c1e0e"/>
    <w:pPr>
      <w:pageBreakBefore/>
      <w:jc w:val="both"/>
      <w:outlineLvl w:val="0"/>
    </w:pPr>
    <w:rPr>
      <w:b/>
    </w:rPr>
  </w:style>
  <w:style w:type="paragraph" w:styleId="Style25" w:customStyle="1">
    <w:name w:val="Знак Знак Знак Знак Знак Знак Знак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NoSpacing">
    <w:name w:val="No Spacing"/>
    <w:basedOn w:val="Normal"/>
    <w:uiPriority w:val="1"/>
    <w:qFormat/>
    <w:rsid w:val="00d22f6d"/>
    <w:pPr>
      <w:spacing w:lineRule="auto" w:line="360"/>
    </w:pPr>
    <w:rPr>
      <w:rFonts w:eastAsia="Calibri"/>
      <w:sz w:val="24"/>
      <w:szCs w:val="24"/>
    </w:rPr>
  </w:style>
  <w:style w:type="paragraph" w:styleId="Caption1111" w:customStyle="1">
    <w:name w:val="caption1111"/>
    <w:basedOn w:val="Normal"/>
    <w:next w:val="Normal"/>
    <w:uiPriority w:val="35"/>
    <w:qFormat/>
    <w:rsid w:val="00d22f6d"/>
    <w:pPr/>
    <w:rPr>
      <w:rFonts w:eastAsia="Calibri"/>
      <w:b/>
      <w:bCs/>
      <w:color w:val="4F81BD"/>
      <w:sz w:val="18"/>
      <w:szCs w:val="18"/>
    </w:rPr>
  </w:style>
  <w:style w:type="paragraph" w:styleId="Subtitle">
    <w:name w:val="Subtitle"/>
    <w:basedOn w:val="Normal"/>
    <w:next w:val="Normal"/>
    <w:link w:val="Style2"/>
    <w:uiPriority w:val="11"/>
    <w:qFormat/>
    <w:rsid w:val="00d22f6d"/>
    <w:pPr>
      <w:numPr>
        <w:ilvl w:val="1"/>
      </w:numPr>
      <w:ind w:left="1066" w:firstLine="709"/>
    </w:pPr>
    <w:rPr>
      <w:rFonts w:ascii="Cambria" w:hAnsi="Cambria"/>
      <w:i/>
      <w:iCs/>
      <w:color w:val="4F81BD"/>
      <w:spacing w:val="15"/>
      <w:sz w:val="24"/>
      <w:szCs w:val="24"/>
      <w:lang w:val="x-none" w:eastAsia="x-none"/>
    </w:rPr>
  </w:style>
  <w:style w:type="paragraph" w:styleId="ListParagraph">
    <w:name w:val="List Paragraph"/>
    <w:basedOn w:val="Normal"/>
    <w:link w:val="Style7"/>
    <w:uiPriority w:val="34"/>
    <w:qFormat/>
    <w:rsid w:val="00d22f6d"/>
    <w:pPr>
      <w:spacing w:before="0" w:after="0"/>
      <w:ind w:left="720" w:hanging="0"/>
      <w:contextualSpacing/>
    </w:pPr>
    <w:rPr>
      <w:rFonts w:eastAsia="Calibri"/>
      <w:sz w:val="24"/>
      <w:szCs w:val="24"/>
    </w:rPr>
  </w:style>
  <w:style w:type="paragraph" w:styleId="Quote">
    <w:name w:val="Quote"/>
    <w:basedOn w:val="Normal"/>
    <w:next w:val="Normal"/>
    <w:link w:val="21"/>
    <w:uiPriority w:val="29"/>
    <w:qFormat/>
    <w:rsid w:val="00d22f6d"/>
    <w:pPr/>
    <w:rPr>
      <w:rFonts w:ascii="Calibri" w:hAnsi="Calibri" w:eastAsia="Calibri"/>
      <w:i/>
      <w:iCs/>
      <w:color w:val="000000"/>
      <w:sz w:val="20"/>
      <w:szCs w:val="20"/>
      <w:lang w:val="x-none" w:eastAsia="x-none"/>
    </w:rPr>
  </w:style>
  <w:style w:type="paragraph" w:styleId="IntenseQuote">
    <w:name w:val="Intense Quote"/>
    <w:basedOn w:val="Normal"/>
    <w:next w:val="Normal"/>
    <w:link w:val="Style3"/>
    <w:uiPriority w:val="30"/>
    <w:qFormat/>
    <w:rsid w:val="00d22f6d"/>
    <w:pPr>
      <w:pBdr>
        <w:bottom w:val="single" w:sz="4" w:space="4" w:color="4F81BD"/>
      </w:pBdr>
      <w:spacing w:before="200" w:after="280"/>
      <w:ind w:left="936" w:right="936" w:hanging="0"/>
    </w:pPr>
    <w:rPr>
      <w:rFonts w:ascii="Calibri" w:hAnsi="Calibri" w:eastAsia="Calibri"/>
      <w:b/>
      <w:bCs/>
      <w:i/>
      <w:iCs/>
      <w:color w:val="4F81BD"/>
      <w:sz w:val="20"/>
      <w:szCs w:val="20"/>
      <w:lang w:val="x-none" w:eastAsia="x-none"/>
    </w:rPr>
  </w:style>
  <w:style w:type="paragraph" w:styleId="IndexHeading">
    <w:name w:val="Index Heading"/>
    <w:basedOn w:val="Style16"/>
    <w:pPr/>
    <w:rPr/>
  </w:style>
  <w:style w:type="paragraph" w:styleId="TOCHeading">
    <w:name w:val="TOC Heading"/>
    <w:basedOn w:val="Heading1"/>
    <w:next w:val="Normal"/>
    <w:uiPriority w:val="39"/>
    <w:qFormat/>
    <w:rsid w:val="00d22f6d"/>
    <w:pPr>
      <w:keepLines/>
      <w:spacing w:before="480" w:after="60"/>
      <w:outlineLvl w:val="9"/>
    </w:pPr>
    <w:rPr>
      <w:rFonts w:ascii="Cambria" w:hAnsi="Cambria"/>
      <w:bCs/>
      <w:color w:val="365F91"/>
    </w:rPr>
  </w:style>
  <w:style w:type="paragraph" w:styleId="E-mailSignature">
    <w:name w:val="E-mail Signature"/>
    <w:basedOn w:val="Normal"/>
    <w:link w:val="Style4"/>
    <w:uiPriority w:val="99"/>
    <w:unhideWhenUsed/>
    <w:qFormat/>
    <w:rsid w:val="00d22f6d"/>
    <w:pPr/>
    <w:rPr>
      <w:rFonts w:eastAsia="Calibri"/>
      <w:sz w:val="24"/>
      <w:szCs w:val="24"/>
      <w:lang w:val="x-none" w:eastAsia="x-none"/>
    </w:rPr>
  </w:style>
  <w:style w:type="paragraph" w:styleId="Style26" w:customStyle="1">
    <w:name w:val="Знак"/>
    <w:basedOn w:val="Normal"/>
    <w:qFormat/>
    <w:rsid w:val="00d22f6d"/>
    <w:pPr>
      <w:spacing w:lineRule="exact" w:line="240" w:before="0" w:after="160"/>
    </w:pPr>
    <w:rPr>
      <w:rFonts w:ascii="Verdana" w:hAnsi="Verdana" w:cs="Verdana"/>
      <w:sz w:val="20"/>
      <w:szCs w:val="20"/>
      <w:lang w:val="en-US" w:eastAsia="en-US"/>
    </w:rPr>
  </w:style>
  <w:style w:type="paragraph" w:styleId="34" w:customStyle="1">
    <w:name w:val="Нумерованный список ур3"/>
    <w:basedOn w:val="Normal"/>
    <w:qFormat/>
    <w:rsid w:val="00d22f6d"/>
    <w:pPr>
      <w:numPr>
        <w:ilvl w:val="2"/>
        <w:numId w:val="2"/>
      </w:numPr>
      <w:jc w:val="both"/>
    </w:pPr>
    <w:rPr>
      <w:rFonts w:ascii="Garamond" w:hAnsi="Garamond"/>
      <w:sz w:val="24"/>
      <w:szCs w:val="20"/>
    </w:rPr>
  </w:style>
  <w:style w:type="paragraph" w:styleId="41" w:customStyle="1">
    <w:name w:val="Маркированный список 41"/>
    <w:basedOn w:val="Normal"/>
    <w:qFormat/>
    <w:rsid w:val="00d22f6d"/>
    <w:pPr>
      <w:numPr>
        <w:ilvl w:val="0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26" w:customStyle="1">
    <w:name w:val="Нумерованный список ур2"/>
    <w:basedOn w:val="Normal"/>
    <w:qFormat/>
    <w:rsid w:val="00d22f6d"/>
    <w:pPr>
      <w:numPr>
        <w:ilvl w:val="1"/>
        <w:numId w:val="2"/>
      </w:numPr>
      <w:spacing w:before="120" w:after="0"/>
      <w:jc w:val="both"/>
    </w:pPr>
    <w:rPr>
      <w:rFonts w:ascii="Garamond" w:hAnsi="Garamond"/>
      <w:sz w:val="24"/>
      <w:szCs w:val="20"/>
    </w:rPr>
  </w:style>
  <w:style w:type="paragraph" w:styleId="Revision">
    <w:name w:val="Revision"/>
    <w:uiPriority w:val="99"/>
    <w:semiHidden/>
    <w:qFormat/>
    <w:rsid w:val="00d22f6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Calibri" w:cs="Times New Roman"/>
      <w:color w:val="auto"/>
      <w:kern w:val="0"/>
      <w:sz w:val="24"/>
      <w:szCs w:val="24"/>
      <w:lang w:val="ru-RU" w:eastAsia="ru-RU" w:bidi="ar-SA"/>
    </w:rPr>
  </w:style>
  <w:style w:type="paragraph" w:styleId="ConsPlusNormal" w:customStyle="1">
    <w:name w:val="ConsPlusNormal"/>
    <w:qFormat/>
    <w:rsid w:val="00d22f6d"/>
    <w:pPr>
      <w:widowControl w:val="false"/>
      <w:suppressAutoHyphens w:val="true"/>
      <w:bidi w:val="0"/>
      <w:spacing w:before="0" w:after="0"/>
      <w:ind w:firstLine="720"/>
      <w:jc w:val="left"/>
    </w:pPr>
    <w:rPr>
      <w:rFonts w:ascii="Arial" w:hAnsi="Arial" w:eastAsia="Times New Roman" w:cs="Arial"/>
      <w:color w:val="auto"/>
      <w:kern w:val="0"/>
      <w:sz w:val="20"/>
      <w:szCs w:val="20"/>
      <w:lang w:val="ru-RU" w:eastAsia="ru-RU" w:bidi="ar-SA"/>
    </w:rPr>
  </w:style>
  <w:style w:type="paragraph" w:styleId="35" w:customStyle="1">
    <w:name w:val="Знак Знак3 Знак Знак"/>
    <w:basedOn w:val="Normal"/>
    <w:qFormat/>
    <w:rsid w:val="00d22f6d"/>
    <w:pPr>
      <w:spacing w:lineRule="exact" w:line="240" w:before="0" w:after="160"/>
      <w:jc w:val="both"/>
    </w:pPr>
    <w:rPr>
      <w:rFonts w:ascii="Verdana" w:hAnsi="Verdana" w:cs="Verdana"/>
      <w:sz w:val="22"/>
      <w:szCs w:val="22"/>
      <w:lang w:val="en-US" w:eastAsia="en-US"/>
    </w:rPr>
  </w:style>
  <w:style w:type="paragraph" w:styleId="Style27" w:customStyle="1">
    <w:name w:val="Пункт"/>
    <w:basedOn w:val="Normal"/>
    <w:qFormat/>
    <w:rsid w:val="00d22f6d"/>
    <w:pPr>
      <w:widowControl w:val="false"/>
      <w:tabs>
        <w:tab w:val="clear" w:pos="708"/>
        <w:tab w:val="left" w:pos="1134" w:leader="none"/>
      </w:tabs>
      <w:spacing w:lineRule="auto" w:line="360" w:before="120" w:after="0"/>
      <w:ind w:left="1134" w:right="800" w:hanging="1134"/>
      <w:jc w:val="both"/>
    </w:pPr>
    <w:rPr>
      <w:rFonts w:ascii="Arial" w:hAnsi="Arial"/>
      <w:b/>
      <w:i/>
      <w:szCs w:val="20"/>
    </w:rPr>
  </w:style>
  <w:style w:type="paragraph" w:styleId="18" w:customStyle="1">
    <w:name w:val="Абзац списка1"/>
    <w:basedOn w:val="Normal"/>
    <w:qFormat/>
    <w:rsid w:val="00d22f6d"/>
    <w:pPr>
      <w:spacing w:lineRule="auto" w:line="276" w:before="0" w:after="200"/>
      <w:ind w:left="720" w:hanging="0"/>
      <w:contextualSpacing/>
    </w:pPr>
    <w:rPr>
      <w:rFonts w:ascii="Calibri" w:hAnsi="Calibri"/>
      <w:sz w:val="22"/>
      <w:szCs w:val="22"/>
      <w:lang w:eastAsia="en-US"/>
    </w:rPr>
  </w:style>
  <w:style w:type="paragraph" w:styleId="Style28" w:customStyle="1">
    <w:name w:val="Таблица"/>
    <w:basedOn w:val="Normal"/>
    <w:qFormat/>
    <w:rsid w:val="0041356c"/>
    <w:pPr>
      <w:keepNext w:val="true"/>
      <w:spacing w:before="60" w:after="60"/>
      <w:jc w:val="center"/>
    </w:pPr>
    <w:rPr>
      <w:rFonts w:eastAsia="Calibri"/>
      <w:b/>
      <w:sz w:val="24"/>
      <w:szCs w:val="24"/>
      <w:lang w:val="x-none" w:eastAsia="x-none"/>
    </w:rPr>
  </w:style>
  <w:style w:type="paragraph" w:styleId="Style29" w:customStyle="1">
    <w:name w:val="Таблица шапка"/>
    <w:basedOn w:val="Normal"/>
    <w:qFormat/>
    <w:rsid w:val="00f64089"/>
    <w:pPr>
      <w:keepNext w:val="true"/>
      <w:spacing w:before="40" w:after="40"/>
      <w:ind w:left="57" w:right="57" w:hanging="0"/>
    </w:pPr>
    <w:rPr>
      <w:sz w:val="22"/>
      <w:szCs w:val="26"/>
    </w:rPr>
  </w:style>
  <w:style w:type="paragraph" w:styleId="Style30" w:customStyle="1">
    <w:name w:val="Подподпункт"/>
    <w:basedOn w:val="Style22"/>
    <w:link w:val="Style9"/>
    <w:qFormat/>
    <w:rsid w:val="0025139e"/>
    <w:pPr>
      <w:tabs>
        <w:tab w:val="clear" w:pos="1134"/>
        <w:tab w:val="left" w:pos="5104" w:leader="none"/>
      </w:tabs>
      <w:snapToGrid w:val="true"/>
      <w:spacing w:lineRule="auto" w:line="240" w:before="120" w:after="0"/>
      <w:ind w:left="5104" w:hanging="567"/>
    </w:pPr>
    <w:rPr>
      <w:sz w:val="26"/>
      <w:szCs w:val="26"/>
      <w:lang w:val="ru-RU" w:eastAsia="ru-RU"/>
    </w:rPr>
  </w:style>
  <w:style w:type="paragraph" w:styleId="Style31" w:customStyle="1">
    <w:name w:val="УРОВЕНЬ_(а)"/>
    <w:basedOn w:val="ListParagraph"/>
    <w:qFormat/>
    <w:rsid w:val="00b56f46"/>
    <w:pPr>
      <w:numPr>
        <w:ilvl w:val="3"/>
        <w:numId w:val="4"/>
      </w:numPr>
      <w:spacing w:lineRule="exact" w:line="360" w:before="120" w:after="0"/>
      <w:contextualSpacing w:val="false"/>
      <w:jc w:val="both"/>
      <w:outlineLvl w:val="3"/>
    </w:pPr>
    <w:rPr>
      <w:sz w:val="26"/>
      <w:szCs w:val="28"/>
      <w:lang w:eastAsia="en-US"/>
    </w:rPr>
  </w:style>
  <w:style w:type="paragraph" w:styleId="-" w:customStyle="1">
    <w:name w:val="УРОВЕНЬ_-"/>
    <w:basedOn w:val="ListParagraph"/>
    <w:qFormat/>
    <w:rsid w:val="00b56f46"/>
    <w:pPr>
      <w:numPr>
        <w:ilvl w:val="4"/>
        <w:numId w:val="4"/>
      </w:numPr>
      <w:spacing w:lineRule="exact" w:line="360" w:before="120" w:after="0"/>
      <w:contextualSpacing w:val="false"/>
      <w:jc w:val="both"/>
      <w:outlineLvl w:val="4"/>
    </w:pPr>
    <w:rPr>
      <w:sz w:val="26"/>
      <w:szCs w:val="28"/>
      <w:lang w:eastAsia="en-US"/>
    </w:rPr>
  </w:style>
  <w:style w:type="paragraph" w:styleId="27" w:customStyle="1">
    <w:name w:val="УРОВЕНЬ_Абзац_тип2"/>
    <w:basedOn w:val="ListParagraph"/>
    <w:qFormat/>
    <w:rsid w:val="00b56f46"/>
    <w:pPr>
      <w:numPr>
        <w:ilvl w:val="6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36" w:customStyle="1">
    <w:name w:val="УРОВЕНЬ_Абзац_тип3"/>
    <w:basedOn w:val="ListParagraph"/>
    <w:link w:val="31"/>
    <w:qFormat/>
    <w:rsid w:val="00b56f46"/>
    <w:pPr>
      <w:numPr>
        <w:ilvl w:val="7"/>
        <w:numId w:val="4"/>
      </w:numPr>
      <w:spacing w:lineRule="exact" w:line="360" w:before="120" w:after="0"/>
      <w:contextualSpacing w:val="false"/>
      <w:jc w:val="both"/>
    </w:pPr>
    <w:rPr>
      <w:sz w:val="26"/>
      <w:szCs w:val="28"/>
      <w:lang w:eastAsia="en-US"/>
    </w:rPr>
  </w:style>
  <w:style w:type="paragraph" w:styleId="Style32" w:customStyle="1">
    <w:name w:val="УРОВЕНЬ_Подпись"/>
    <w:basedOn w:val="ListParagraph"/>
    <w:qFormat/>
    <w:rsid w:val="00b56f46"/>
    <w:pPr>
      <w:keepNext w:val="true"/>
      <w:numPr>
        <w:ilvl w:val="5"/>
        <w:numId w:val="4"/>
      </w:numPr>
      <w:spacing w:lineRule="exact" w:line="360" w:before="120" w:after="120"/>
      <w:contextualSpacing w:val="false"/>
      <w:jc w:val="right"/>
      <w:outlineLvl w:val="3"/>
    </w:pPr>
    <w:rPr>
      <w:sz w:val="26"/>
      <w:szCs w:val="28"/>
      <w:lang w:eastAsia="en-US"/>
    </w:rPr>
  </w:style>
  <w:style w:type="paragraph" w:styleId="19" w:customStyle="1">
    <w:name w:val="Стиль Заголовок 1 + по ширине"/>
    <w:basedOn w:val="Heading1"/>
    <w:qFormat/>
    <w:rsid w:val="005773b2"/>
    <w:pPr>
      <w:keepLines/>
      <w:numPr>
        <w:ilvl w:val="0"/>
        <w:numId w:val="0"/>
      </w:numPr>
      <w:tabs>
        <w:tab w:val="clear" w:pos="708"/>
        <w:tab w:val="left" w:pos="567" w:leader="none"/>
      </w:tabs>
      <w:spacing w:before="480" w:after="240"/>
      <w:ind w:left="567" w:hanging="567"/>
      <w:jc w:val="both"/>
    </w:pPr>
    <w:rPr>
      <w:rFonts w:ascii="Arial" w:hAnsi="Arial" w:eastAsia="Times New Roman"/>
      <w:bCs/>
      <w:kern w:val="2"/>
      <w:sz w:val="40"/>
      <w:szCs w:val="20"/>
      <w:lang w:val="ru-RU" w:eastAsia="ru-RU"/>
    </w:rPr>
  </w:style>
  <w:style w:type="paragraph" w:styleId="EndnoteText">
    <w:name w:val="Endnote Text"/>
    <w:basedOn w:val="Normal"/>
    <w:link w:val="Style12"/>
    <w:rsid w:val="003879d4"/>
    <w:pPr/>
    <w:rPr>
      <w:sz w:val="20"/>
      <w:szCs w:val="20"/>
    </w:rPr>
  </w:style>
  <w:style w:type="paragraph" w:styleId="28" w:customStyle="1">
    <w:name w:val="Заголовок 2 КВВ"/>
    <w:basedOn w:val="Normal"/>
    <w:qFormat/>
    <w:rsid w:val="00cb35e8"/>
    <w:pPr>
      <w:keepNext w:val="true"/>
      <w:numPr>
        <w:ilvl w:val="0"/>
        <w:numId w:val="5"/>
      </w:numPr>
      <w:spacing w:before="120" w:after="120"/>
      <w:jc w:val="both"/>
      <w:outlineLvl w:val="0"/>
    </w:pPr>
    <w:rPr>
      <w:b/>
      <w:kern w:val="2"/>
      <w:sz w:val="24"/>
      <w:szCs w:val="20"/>
      <w:lang w:eastAsia="x-none"/>
    </w:rPr>
  </w:style>
  <w:style w:type="paragraph" w:styleId="Style33" w:customStyle="1">
    <w:name w:val="Таблица текст"/>
    <w:basedOn w:val="Normal"/>
    <w:qFormat/>
    <w:rsid w:val="00343e95"/>
    <w:pPr>
      <w:spacing w:before="40" w:after="40"/>
      <w:ind w:left="57" w:right="57" w:hanging="0"/>
    </w:pPr>
    <w:rPr>
      <w:sz w:val="24"/>
      <w:szCs w:val="26"/>
    </w:rPr>
  </w:style>
  <w:style w:type="paragraph" w:styleId="NormalWeb">
    <w:name w:val="Normal (Web)"/>
    <w:basedOn w:val="Normal"/>
    <w:uiPriority w:val="99"/>
    <w:unhideWhenUsed/>
    <w:qFormat/>
    <w:rsid w:val="00265d9f"/>
    <w:pPr>
      <w:spacing w:beforeAutospacing="1" w:afterAutospacing="1"/>
    </w:pPr>
    <w:rPr>
      <w:sz w:val="24"/>
      <w:szCs w:val="24"/>
    </w:rPr>
  </w:style>
  <w:style w:type="paragraph" w:styleId="110" w:customStyle="1">
    <w:name w:val="УРОВЕНЬ_1."/>
    <w:basedOn w:val="ListParagraph"/>
    <w:link w:val="12"/>
    <w:qFormat/>
    <w:rsid w:val="004a17ae"/>
    <w:pPr>
      <w:keepNext w:val="true"/>
      <w:keepLines/>
      <w:spacing w:lineRule="auto" w:line="276" w:before="240" w:after="120"/>
      <w:ind w:left="0" w:hanging="0"/>
      <w:contextualSpacing w:val="false"/>
      <w:jc w:val="both"/>
      <w:outlineLvl w:val="0"/>
    </w:pPr>
    <w:rPr>
      <w:caps/>
      <w:sz w:val="28"/>
      <w:szCs w:val="28"/>
      <w:lang w:eastAsia="en-US"/>
    </w:rPr>
  </w:style>
  <w:style w:type="paragraph" w:styleId="TOC6">
    <w:name w:val="TOC 6"/>
    <w:basedOn w:val="Normal"/>
    <w:next w:val="Normal"/>
    <w:autoRedefine/>
    <w:unhideWhenUsed/>
    <w:rsid w:val="00d849aa"/>
    <w:pPr>
      <w:ind w:left="112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7">
    <w:name w:val="TOC 7"/>
    <w:basedOn w:val="Normal"/>
    <w:next w:val="Normal"/>
    <w:autoRedefine/>
    <w:unhideWhenUsed/>
    <w:rsid w:val="00d849aa"/>
    <w:pPr>
      <w:ind w:left="140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TOC8">
    <w:name w:val="TOC 8"/>
    <w:basedOn w:val="Normal"/>
    <w:next w:val="Normal"/>
    <w:autoRedefine/>
    <w:unhideWhenUsed/>
    <w:rsid w:val="00d849aa"/>
    <w:pPr>
      <w:ind w:left="1680" w:hanging="0"/>
    </w:pPr>
    <w:rPr>
      <w:rFonts w:ascii="Calibri" w:hAnsi="Calibri" w:cs="Calibri" w:asciiTheme="minorHAnsi" w:cstheme="minorHAnsi" w:hAnsiTheme="minorHAnsi"/>
      <w:sz w:val="20"/>
      <w:szCs w:val="20"/>
    </w:rPr>
  </w:style>
  <w:style w:type="paragraph" w:styleId="ListBul2" w:customStyle="1">
    <w:name w:val="ListBul2"/>
    <w:basedOn w:val="Normal"/>
    <w:qFormat/>
    <w:rsid w:val="001467a7"/>
    <w:pPr>
      <w:numPr>
        <w:ilvl w:val="0"/>
        <w:numId w:val="7"/>
      </w:numPr>
      <w:tabs>
        <w:tab w:val="clear" w:pos="708"/>
        <w:tab w:val="left" w:pos="567" w:leader="none"/>
      </w:tabs>
      <w:jc w:val="both"/>
    </w:pPr>
    <w:rPr>
      <w:sz w:val="22"/>
      <w:szCs w:val="24"/>
    </w:rPr>
  </w:style>
  <w:style w:type="paragraph" w:styleId="Style34" w:customStyle="1">
    <w:name w:val="Содержимое врезки"/>
    <w:basedOn w:val="Normal"/>
    <w:qFormat/>
    <w:pPr/>
    <w:rPr/>
  </w:style>
  <w:style w:type="paragraph" w:styleId="Style35" w:customStyle="1">
    <w:name w:val="Содержимое таблицы"/>
    <w:basedOn w:val="Normal"/>
    <w:qFormat/>
    <w:pPr>
      <w:widowControl w:val="false"/>
      <w:suppressLineNumbers/>
    </w:pPr>
    <w:rPr/>
  </w:style>
  <w:style w:type="paragraph" w:styleId="Style36" w:customStyle="1">
    <w:name w:val="Заголовок таблицы"/>
    <w:basedOn w:val="Style35"/>
    <w:qFormat/>
    <w:pPr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numbering" w:styleId="111" w:customStyle="1">
    <w:name w:val="Стиль1"/>
    <w:uiPriority w:val="99"/>
    <w:qFormat/>
    <w:rsid w:val="00f001e4"/>
  </w:style>
  <w:style w:type="numbering" w:styleId="29" w:customStyle="1">
    <w:name w:val="Стиль2"/>
    <w:uiPriority w:val="99"/>
    <w:qFormat/>
    <w:rsid w:val="006629c9"/>
  </w:style>
  <w:style w:type="numbering" w:styleId="14299297691" w:customStyle="1">
    <w:name w:val="14299297691"/>
    <w:qFormat/>
  </w:style>
  <w:style w:type="table" w:default="1" w:styleId="a5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fff8">
    <w:name w:val="Table Grid"/>
    <w:basedOn w:val="a5"/>
    <w:uiPriority w:val="39"/>
    <w:rsid w:val="0076353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d">
    <w:name w:val="Сетка таблицы1"/>
    <w:basedOn w:val="a5"/>
    <w:uiPriority w:val="39"/>
    <w:rsid w:val="00214b9f"/>
    <w:rPr>
      <w:rFonts w:asciiTheme="minorHAnsi" w:hAnsiTheme="minorHAnsi" w:eastAsiaTheme="minorHAnsi" w:cstheme="minorBidi"/>
      <w:lang w:eastAsia="en-US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yperlink" Target="https://docs.cntd.ru/document/1200122434" TargetMode="External"/><Relationship Id="rId6" Type="http://schemas.openxmlformats.org/officeDocument/2006/relationships/header" Target="header4.xml"/><Relationship Id="rId7" Type="http://schemas.openxmlformats.org/officeDocument/2006/relationships/header" Target="header5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E8CD6C-3E68-484A-BB91-A64E3B1F9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Application>AlterOffice/3.4.0.8$Linux_X86_64 LibreOffice_project/8f3f3c847f0b8d6fea24e251d3d8ed4f23cbe23c</Application>
  <AppVersion>15.0000</AppVersion>
  <Pages>9</Pages>
  <Words>1374</Words>
  <Characters>9282</Characters>
  <CharactersWithSpaces>10420</CharactersWithSpaces>
  <Paragraphs>230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2025-08-19T03:42:00Z</dcterms:created>
  <dc:creator>Быстров Олег Геннадьевич</dc:creator>
  <dc:description/>
  <dc:language>ru-RU</dc:language>
  <cp:lastModifiedBy/>
  <cp:lastPrinted>2025-01-20T09:55:00Z</cp:lastPrinted>
  <dcterms:modified xsi:type="dcterms:W3CDTF">2026-06-26T09:27:04Z</dcterms:modified>
  <cp:revision>10</cp:revision>
  <dc:subject/>
  <dc:title>Российское открытое акционерное общество энергетики и электрификации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